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rFonts w:ascii="Arial" w:cs="Arial" w:eastAsia="Arial" w:hAnsi="Arial"/>
          <w:b/>
          <w:bCs/>
          <w:sz w:val="56"/>
          <w:szCs w:val="56"/>
        </w:rPr>
        <w:t xml:space="preserve">AI Plan</w:t>
      </w:r>
    </w:p>
    <w:p>
      <w:pPr>
        <w:spacing w:after="240"/>
        <w:jc w:val="center"/>
      </w:pPr>
      <w:r>
        <w:rPr>
          <w:rFonts w:ascii="Arial" w:cs="Arial" w:eastAsia="Arial" w:hAnsi="Arial"/>
          <w:sz w:val="32"/>
          <w:szCs w:val="32"/>
        </w:rPr>
        <w:t xml:space="preserve">AI Venture under the Innovation Centre</w:t>
      </w:r>
    </w:p>
    <w:p>
      <w:pPr>
        <w:spacing w:after="120"/>
        <w:jc w:val="center"/>
      </w:pPr>
      <w:r>
        <w:rPr>
          <w:rFonts w:ascii="Arial" w:cs="Arial" w:eastAsia="Arial" w:hAnsi="Arial"/>
          <w:i/>
          <w:iCs/>
          <w:sz w:val="24"/>
          <w:szCs w:val="24"/>
        </w:rPr>
        <w:t xml:space="preserve">What we can build — an AI feasibility plan for agentic instruments and agentic systems</w:t>
      </w:r>
    </w:p>
    <w:p>
      <w:pPr>
        <w:spacing w:after="120" w:before="1600"/>
        <w:jc w:val="center"/>
      </w:pPr>
      <w:r>
        <w:rPr>
          <w:rFonts w:ascii="Arial" w:cs="Arial" w:eastAsia="Arial" w:hAnsi="Arial"/>
          <w:sz w:val="22"/>
          <w:szCs w:val="22"/>
        </w:rPr>
        <w:t xml:space="preserve">Prepared by Sơn</w:t>
      </w:r>
    </w:p>
    <w:p>
      <w:pPr>
        <w:spacing w:after="120"/>
        <w:jc w:val="center"/>
      </w:pPr>
      <w:r>
        <w:rPr>
          <w:rFonts w:ascii="Arial" w:cs="Arial" w:eastAsia="Arial" w:hAnsi="Arial"/>
          <w:i/>
          <w:iCs/>
          <w:sz w:val="22"/>
          <w:szCs w:val="22"/>
        </w:rPr>
        <w:t xml:space="preserve">son@bigsmallai.com</w:t>
      </w:r>
    </w:p>
    <w:p>
      <w:pPr>
        <w:spacing w:after="120"/>
        <w:jc w:val="center"/>
      </w:pPr>
      <w:r>
        <w:rPr>
          <w:rFonts w:ascii="Arial" w:cs="Arial" w:eastAsia="Arial" w:hAnsi="Arial"/>
          <w:sz w:val="22"/>
          <w:szCs w:val="22"/>
        </w:rPr>
        <w:t xml:space="preserve">24 April 2026</w:t>
      </w:r>
    </w:p>
    <w:p>
      <w:r>
        <w:br w:type="page"/>
      </w:r>
    </w:p>
    <w:p>
      <w:pPr>
        <w:pStyle w:val="Heading1"/>
        <w:spacing w:after="180" w:before="240"/>
      </w:pPr>
      <w:r>
        <w:rPr>
          <w:rFonts w:ascii="Arial" w:cs="Arial" w:eastAsia="Arial" w:hAnsi="Arial"/>
          <w:b/>
          <w:bCs/>
          <w:sz w:val="32"/>
          <w:szCs w:val="32"/>
        </w:rP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pPr>
        <w:spacing w:after="120" w:before="120"/>
      </w:pPr>
      <w:r>
        <w:rPr>
          <w:rFonts w:ascii="Arial" w:cs="Arial" w:eastAsia="Arial" w:hAnsi="Arial"/>
          <w:i/>
          <w:iCs/>
          <w:color w:val="808080"/>
          <w:sz w:val="18"/>
          <w:szCs w:val="18"/>
        </w:rPr>
        <w:t xml:space="preserve">(Right-click the table in Word and choose "Update Field" to populate page numbers.)</w:t>
      </w:r>
    </w:p>
    <w:p>
      <w:r>
        <w:br w:type="page"/>
      </w:r>
    </w:p>
    <w:p>
      <w:pPr>
        <w:pStyle w:val="Heading1"/>
        <w:spacing w:after="180" w:before="360"/>
      </w:pPr>
      <w:r>
        <w:rPr>
          <w:rFonts w:ascii="Arial" w:cs="Arial" w:eastAsia="Arial" w:hAnsi="Arial"/>
          <w:b/>
          <w:bCs/>
          <w:sz w:val="32"/>
          <w:szCs w:val="32"/>
        </w:rPr>
        <w:t xml:space="preserve">At a glance</w:t>
      </w:r>
    </w:p>
    <w:p>
      <w:pPr>
        <w:spacing w:after="120" w:line="300"/>
        <w:jc w:val="left"/>
      </w:pPr>
      <w:r>
        <w:rPr>
          <w:rFonts w:ascii="Arial" w:cs="Arial" w:eastAsia="Arial" w:hAnsi="Arial"/>
          <w:b w:val="false"/>
          <w:bCs w:val="false"/>
          <w:i w:val="false"/>
          <w:iCs w:val="false"/>
          <w:sz w:val="22"/>
          <w:szCs w:val="22"/>
        </w:rPr>
        <w:t xml:space="preserve">The diagram and table below summarise the plan's structure. Everything that follows elaborates on one of these cells.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4"/>
                <w:szCs w:val="24"/>
              </w:rPr>
              <w:t xml:space="preserve">Pillar 1 — Agentic Instruments</w:t>
            </w:r>
          </w:p>
        </w:tc>
        <w:tc>
          <w:tcPr>
            <w:tcW w:type="dxa" w:w="468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4"/>
                <w:szCs w:val="24"/>
              </w:rPr>
              <w:t xml:space="preserve">Pillar 2 — Agentic Systems</w:t>
            </w:r>
          </w:p>
        </w:tc>
      </w:tr>
      <w:tr>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Client-side Claude plugins built to 12 structural properties.</w:t>
            </w:r>
          </w:p>
          <w:p>
            <w:pPr>
              <w:spacing w:after="40" w:line="280"/>
            </w:pPr>
            <w:r>
              <w:rPr>
                <w:rFonts w:ascii="Arial" w:cs="Arial" w:eastAsia="Arial" w:hAnsi="Arial"/>
                <w:b w:val="false"/>
                <w:bCs w:val="false"/>
                <w:sz w:val="20"/>
                <w:szCs w:val="20"/>
              </w:rPr>
              <w:t xml:space="preserve"/>
            </w:r>
          </w:p>
          <w:p>
            <w:pPr>
              <w:spacing w:after="40" w:line="280"/>
            </w:pPr>
            <w:r>
              <w:rPr>
                <w:rFonts w:ascii="Arial" w:cs="Arial" w:eastAsia="Arial" w:hAnsi="Arial"/>
                <w:b w:val="false"/>
                <w:bCs w:val="false"/>
                <w:sz w:val="20"/>
                <w:szCs w:val="20"/>
              </w:rPr>
              <w:t xml:space="preserve">Reference instance: Mindgap (marketing intelligence)</w:t>
            </w:r>
          </w:p>
          <w:p>
            <w:pPr>
              <w:spacing w:after="40" w:line="280"/>
            </w:pPr>
            <w:r>
              <w:rPr>
                <w:rFonts w:ascii="Arial" w:cs="Arial" w:eastAsia="Arial" w:hAnsi="Arial"/>
                <w:b w:val="false"/>
                <w:bCs w:val="false"/>
                <w:sz w:val="20"/>
                <w:szCs w:val="20"/>
              </w:rPr>
              <w:t xml:space="preserve">Runs on client's Claude Max subscription — no venture compute cost at runtime.</w:t>
            </w:r>
          </w:p>
          <w:p>
            <w:pPr>
              <w:spacing w:after="40" w:line="280"/>
            </w:pPr>
            <w:r>
              <w:rPr>
                <w:rFonts w:ascii="Arial" w:cs="Arial" w:eastAsia="Arial" w:hAnsi="Arial"/>
                <w:b w:val="false"/>
                <w:bCs w:val="false"/>
                <w:sz w:val="20"/>
                <w:szCs w:val="20"/>
              </w:rPr>
              <w:t xml:space="preserve">Sold as: build + deploy + train + maintain.</w:t>
            </w:r>
          </w:p>
        </w:tc>
        <w:tc>
          <w:tcPr>
            <w:tcW w:type="dxa" w:w="46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Remote MCP backends with multi-agent pipelines, tenanted identity, cross-venture composition.</w:t>
            </w:r>
          </w:p>
          <w:p>
            <w:pPr>
              <w:spacing w:after="40" w:line="280"/>
            </w:pPr>
            <w:r>
              <w:rPr>
                <w:rFonts w:ascii="Arial" w:cs="Arial" w:eastAsia="Arial" w:hAnsi="Arial"/>
                <w:b w:val="false"/>
                <w:bCs w:val="false"/>
                <w:sz w:val="20"/>
                <w:szCs w:val="20"/>
              </w:rPr>
              <w:t xml:space="preserve"/>
            </w:r>
          </w:p>
          <w:p>
            <w:pPr>
              <w:spacing w:after="40" w:line="280"/>
            </w:pPr>
            <w:r>
              <w:rPr>
                <w:rFonts w:ascii="Arial" w:cs="Arial" w:eastAsia="Arial" w:hAnsi="Arial"/>
                <w:b w:val="false"/>
                <w:bCs w:val="false"/>
                <w:sz w:val="20"/>
                <w:szCs w:val="20"/>
              </w:rPr>
              <w:t xml:space="preserve">Reference instance: ATP (governance analysis for VN crypto exchanges)</w:t>
            </w:r>
          </w:p>
          <w:p>
            <w:pPr>
              <w:spacing w:after="40" w:line="280"/>
            </w:pPr>
            <w:r>
              <w:rPr>
                <w:rFonts w:ascii="Arial" w:cs="Arial" w:eastAsia="Arial" w:hAnsi="Arial"/>
                <w:b w:val="false"/>
                <w:bCs w:val="false"/>
                <w:sz w:val="20"/>
                <w:szCs w:val="20"/>
              </w:rPr>
              <w:t xml:space="preserve">~$10/report × 3× iterations ≈ $30 per delivered deliverable (compute).</w:t>
            </w:r>
          </w:p>
          <w:p>
            <w:pPr>
              <w:spacing w:after="40" w:line="280"/>
            </w:pPr>
            <w:r>
              <w:rPr>
                <w:rFonts w:ascii="Arial" w:cs="Arial" w:eastAsia="Arial" w:hAnsi="Arial"/>
                <w:b w:val="false"/>
                <w:bCs w:val="false"/>
                <w:sz w:val="20"/>
                <w:szCs w:val="20"/>
              </w:rPr>
              <w:t xml:space="preserve">Sold as: system build + deployment + training + operation.</w:t>
            </w:r>
          </w:p>
        </w:tc>
      </w:tr>
      <w:tr>
        <w:tc>
          <w:tcPr>
            <w:tcW w:type="dxa" w:w="46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spacing w:after="40" w:line="280"/>
            </w:pPr>
            <w:r>
              <w:rPr>
                <w:rFonts w:ascii="Arial" w:cs="Arial" w:eastAsia="Arial" w:hAnsi="Arial"/>
                <w:b/>
                <w:bCs/>
                <w:sz w:val="20"/>
                <w:szCs w:val="20"/>
              </w:rPr>
              <w:t xml:space="preserve">Shared across both pillars:</w:t>
            </w:r>
          </w:p>
        </w:tc>
        <w:tc>
          <w:tcPr>
            <w:tcW w:type="dxa" w:w="46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 Vietnamese connector library — Reference architecture — Rendering contract — Validator discipline — Cybersec + IoT composition</w:t>
            </w:r>
          </w:p>
        </w:tc>
      </w:tr>
    </w:tbl>
    <w:p>
      <w:pPr>
        <w:spacing w:after="120" w:line="300"/>
        <w:jc w:val="left"/>
      </w:pPr>
      <w:r>
        <w:rPr>
          <w:rFonts w:ascii="Arial" w:cs="Arial" w:eastAsia="Arial" w:hAnsi="Arial"/>
          <w:b w:val="false"/>
          <w:bCs w:val="false"/>
          <w:i w:val="false"/>
          <w:iCs w:val="false"/>
          <w:sz w:val="22"/>
          <w:szCs w:val="22"/>
        </w:rPr>
        <w:t xml:space="preserve"/>
      </w:r>
    </w:p>
    <w:p>
      <w:pPr>
        <w:pStyle w:val="Heading3"/>
        <w:spacing w:after="120" w:before="220"/>
      </w:pPr>
      <w:r>
        <w:rPr>
          <w:rFonts w:ascii="Arial" w:cs="Arial" w:eastAsia="Arial" w:hAnsi="Arial"/>
          <w:b/>
          <w:bCs/>
          <w:sz w:val="24"/>
          <w:szCs w:val="24"/>
        </w:rPr>
        <w:t xml:space="preserve">Plan key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What this plan covers</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The AI feasibility of building agentic instruments (Pillar 1) and agentic systems (Pillar 2) for Vietnamese businesses and government, given the team, the reference instances (Mindgap, ATP), and the Innovation Centre's cybersec + IoT capability. Market demand and commercial pricing are the business plan's scope, not this plan's.</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Framing</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One product line at two operational complexities. Both pillars run a venture-side backend on which sensitive IP lives (the IP-protection principle); the client-side surface is a thin skill interface in both cases. Pillar-1 backends are shared multi-tenant; Pillar-2 backends are bespoke per engagement. Instruments graduate from Pillar 1 to Pillar 2 when backend complexity demands it.</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Context assumed</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Three-person starting team (two standing, one per-engagement); three production-grade reference instances — Mindgap (Pillar-1, BigSmall), ATP (Pillar-2 backend, BigSmall), Agent Rung (Pillar-2 cyber-physical, Panalogy Lab); cybersec and IoT companies in the Innovation Centre; Vietnamese market as deployment surface. Demand for AI adoption is assumed; it is not argued here.</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Instrument definition</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12 structural properties — curated KB, multi-agent workflow, deterministic calculators, risk gate, rendering contract, cross-cutting references, validator, supporting code, deployment posture, typed connectors (commodity + custom), quality web search, generative modalities.</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Buildability model</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Pillar 1: catalogue with three readiness zones (ready now, one-window, two-window) and fastest-production-deployment principle. Pillar 2: reference architecture + mobilisation readiness, not a product list.</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Team start</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AI Lead (Sơn — Chief-AI-Officer-class role, 1/3 stated load delivering ≈ full-FTE output, 120M VND/mo, BigSmall-partnership rate) + Agentic AI Dev (full-time, BigSmall-seconded at 50M VND/mo VN senior full-stack minimum, acting PO) + Bằng (BigSmall Software Architect, per-engagement basis for Pillar-2 work, 30M VND/mo, not a standing venture cost). All figures trace to Bằng's QS project quote. Named hiring triggers for PO, second dev, KB lead, deployment engineer, backend engineer, security engineer.</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Cost baseline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Client carries Claude Max ($100/mo) for the thin skill interface; venture runs the backend on which the instrument's substance lives. Pillar-2 compute ≈ $30/deliverable (ATP-observed, 3× iteration multiplier on ~$10/report). Pillar-1 compute is materially lower (shared multi-tenant backend) — to be measured during pilot.</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Cross-venture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Cybersecurity company = client-side trust surface + Pillar-2 server-side identity/audit. IoT company = physical-world integration + Pillar-2 telemetry/actuation.</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BigSmall partnership</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Mindgap and ATP are cited as BigSmall's portfolio — evidence of the team's demonstrated capability, not assets the venture owns. BigSmall brings to the partnership: demonstrated brain power, talent (Sơn, Agentic Dev, Bằng), and a low-cost basis for engagements like the QS quote. In exchange, BigSmall is expected to hold a large equity share in the AI venture. Equity terms, IP-licensing terms, and governance are out of this plan's scope.</w:t>
            </w:r>
          </w:p>
        </w:tc>
      </w:tr>
      <w:tr>
        <w:tc>
          <w:tcPr>
            <w:tcW w:type="dxa" w:w="30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0"/>
                <w:szCs w:val="20"/>
              </w:rPr>
              <w:t xml:space="preserve">Out of scope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Pricing, packaging, revenue targets, market sizing, go-to-market, competitive market positioning, and inter-company equity/governance terms are the business plan's scope. This plan supplies the AI feasibility inputs only.</w:t>
            </w:r>
          </w:p>
        </w:tc>
      </w:tr>
    </w:tbl>
    <w:p>
      <w:pPr>
        <w:spacing w:after="120" w:line="300"/>
        <w:jc w:val="left"/>
      </w:pPr>
      <w:r>
        <w:rPr>
          <w:rFonts w:ascii="Arial" w:cs="Arial" w:eastAsia="Arial" w:hAnsi="Arial"/>
          <w:b w:val="false"/>
          <w:bCs w:val="false"/>
          <w:i w:val="false"/>
          <w:iCs w:val="false"/>
          <w:sz w:val="22"/>
          <w:szCs w:val="22"/>
        </w:rPr>
        <w:t xml:space="preserve"/>
      </w:r>
    </w:p>
    <w:p>
      <w:r>
        <w:br w:type="page"/>
      </w:r>
    </w:p>
    <w:p>
      <w:pPr>
        <w:pStyle w:val="Heading1"/>
        <w:spacing w:after="180" w:before="360"/>
      </w:pPr>
      <w:r>
        <w:rPr>
          <w:rFonts w:ascii="Arial" w:cs="Arial" w:eastAsia="Arial" w:hAnsi="Arial"/>
          <w:b/>
          <w:bCs/>
          <w:sz w:val="32"/>
          <w:szCs w:val="32"/>
        </w:rPr>
        <w:t xml:space="preserve">Scope of this document</w:t>
      </w:r>
    </w:p>
    <w:p>
      <w:pPr>
        <w:spacing w:after="120" w:line="300"/>
        <w:jc w:val="left"/>
      </w:pPr>
      <w:r>
        <w:rPr>
          <w:rFonts w:ascii="Arial" w:cs="Arial" w:eastAsia="Arial" w:hAnsi="Arial"/>
          <w:b w:val="false"/>
          <w:bCs w:val="false"/>
          <w:i w:val="false"/>
          <w:iCs w:val="false"/>
          <w:sz w:val="22"/>
          <w:szCs w:val="22"/>
        </w:rPr>
        <w:t xml:space="preserve">This is an AI plan. It answers one question: given the context — a three-person starting team (two standing, one per-engagement), two production-grade internal reference instances (Mindgap, ATP) cited as BigSmall's portfolio, and an Innovation Centre that also houses a cybersecurity company and an IoT company — what AI work can the venture feasibly build, deploy, and maintain, and at what operational cost? That is the AI-feasibility question the author was asked to address.</w:t>
      </w:r>
    </w:p>
    <w:p>
      <w:pPr>
        <w:spacing w:after="120" w:line="300"/>
        <w:jc w:val="left"/>
      </w:pPr>
      <w:r>
        <w:rPr>
          <w:rFonts w:ascii="Arial" w:cs="Arial" w:eastAsia="Arial" w:hAnsi="Arial"/>
          <w:b w:val="false"/>
          <w:bCs w:val="false"/>
          <w:i w:val="false"/>
          <w:iCs w:val="false"/>
          <w:sz w:val="22"/>
          <w:szCs w:val="22"/>
        </w:rPr>
        <w:t xml:space="preserve">This plan is not, and does not propose, a business plan. It does not argue market demand, propose pricing, target revenue, set margins, sequence go-to-market, size the market, or take competitive market-positioning stances. Those are the business plan's scope and the business-plan team's responsibility. Where this document touches cost, it is cost physics (what something costs to produce), not pricing (what a client should be charged). Where it touches client tiers or instrument classes, it is about buildability and technical differentiation, not market segmentation.</w:t>
      </w:r>
    </w:p>
    <w:p>
      <w:pPr>
        <w:spacing w:after="120" w:line="300"/>
        <w:jc w:val="left"/>
      </w:pPr>
      <w:r>
        <w:rPr>
          <w:rFonts w:ascii="Arial" w:cs="Arial" w:eastAsia="Arial" w:hAnsi="Arial"/>
          <w:b w:val="false"/>
          <w:bCs w:val="false"/>
          <w:i w:val="false"/>
          <w:iCs w:val="false"/>
          <w:sz w:val="22"/>
          <w:szCs w:val="22"/>
        </w:rPr>
        <w:t xml:space="preserve">Four concrete references anchor this plan. Mindgap, a marketing-intelligence plugin, is cited as the first reference instance of a Pillar-1 agentic instrument. ATP (Agentic Transaction Platform, atp.bigsmallai.com), a governance-analysis backend for Vietnam crypto exchanges, is cited as the first reference instance of a Pillar-2 agentic system. Agent Rung (agentrung.ai), a first-of-its-kind agentic system that autonomously connects to a real-world PLC to troubleshoot and fix issues, is cited as the first reference instance of an agentic cyber-physical system — the Pillar-2 zone that composes AI reasoning with real-world actuation. Mindgap and ATP are first-party work of BigSmall AI; Agent Rung is first-party work of Panalogy Lab. All three are already in production and are cited here as portfolio evidence of the team's demonstrated capability across skill-tier, backend-tier, and cyber-physical-tier agentic work — they are not IP that has been transferred to the AI venture. The fourth reference, anchoring the cost model throughout, is Bằng's QS project quote (the real-estate Quality Survey engagement that originated this conversation), whose team structure and cost basis are the empirical source of the salary and engagement-cost figures in sections 6 and 7. See section 2.6 for how the QS engagement shaped the plan and section 2.7 for how the BigSmall partnership is assumed.</w:t>
      </w:r>
    </w:p>
    <w:p>
      <w:pPr>
        <w:pStyle w:val="Heading1"/>
        <w:spacing w:after="180" w:before="360"/>
      </w:pPr>
      <w:r>
        <w:rPr>
          <w:rFonts w:ascii="Arial" w:cs="Arial" w:eastAsia="Arial" w:hAnsi="Arial"/>
          <w:b/>
          <w:bCs/>
          <w:sz w:val="32"/>
          <w:szCs w:val="32"/>
        </w:rPr>
        <w:t xml:space="preserve">1. Executive framing</w:t>
      </w:r>
    </w:p>
    <w:p>
      <w:pPr>
        <w:spacing w:after="120" w:line="300"/>
        <w:jc w:val="left"/>
      </w:pPr>
      <w:r>
        <w:rPr>
          <w:rFonts w:ascii="Arial" w:cs="Arial" w:eastAsia="Arial" w:hAnsi="Arial"/>
          <w:b w:val="false"/>
          <w:bCs w:val="false"/>
          <w:i w:val="false"/>
          <w:iCs w:val="false"/>
          <w:sz w:val="22"/>
          <w:szCs w:val="22"/>
        </w:rPr>
        <w:t xml:space="preserve">The AI venture produces AI work for Vietnamese businesses and government along two pillars that are, structurally, one product line at two levels of operational complexity.</w:t>
      </w:r>
    </w:p>
    <w:p>
      <w:pPr>
        <w:pStyle w:val="ListParagraph"/>
        <w:numPr>
          <w:ilvl w:val="0"/>
          <w:numId w:val="2"/>
        </w:numPr>
        <w:spacing w:after="80" w:line="300"/>
      </w:pPr>
      <w:r>
        <w:rPr>
          <w:rFonts w:ascii="Arial" w:cs="Arial" w:eastAsia="Arial" w:hAnsi="Arial"/>
          <w:sz w:val="22"/>
          <w:szCs w:val="22"/>
        </w:rPr>
        <w:t xml:space="preserve">Pillar 1 — Agentic Instruments. Customised and localised agentic capabilities, deployed for the client, trained into the client's operations, and maintained on a release cadence. The client-side surface is a thin skill interface; the venture runs a backend on which the instrument's sensitive IP lives.</w:t>
      </w:r>
    </w:p>
    <w:p>
      <w:pPr>
        <w:pStyle w:val="ListParagraph"/>
        <w:numPr>
          <w:ilvl w:val="0"/>
          <w:numId w:val="2"/>
        </w:numPr>
        <w:spacing w:after="80" w:line="300"/>
      </w:pPr>
      <w:r>
        <w:rPr>
          <w:rFonts w:ascii="Arial" w:cs="Arial" w:eastAsia="Arial" w:hAnsi="Arial"/>
          <w:sz w:val="22"/>
          <w:szCs w:val="22"/>
        </w:rPr>
        <w:t xml:space="preserve">Pillar 2 — Agentic Systems. On-demand engagements with higher operational complexity than a Pillar-1 instrument — bespoke backends per engagement, deeper state management, regulated-industry audit, cross-venture composition with the cybersecurity and IoT companies, physical-world integration. Same architectural posture as Pillar 1; more demanding to operate.</w:t>
      </w:r>
    </w:p>
    <w:p>
      <w:pPr>
        <w:spacing w:after="120" w:line="300"/>
        <w:jc w:val="left"/>
      </w:pPr>
      <w:r>
        <w:rPr>
          <w:rFonts w:ascii="Arial" w:cs="Arial" w:eastAsia="Arial" w:hAnsi="Arial"/>
          <w:b w:val="false"/>
          <w:bCs w:val="false"/>
          <w:i w:val="false"/>
          <w:iCs w:val="false"/>
          <w:sz w:val="22"/>
          <w:szCs w:val="22"/>
        </w:rPr>
        <w:t xml:space="preserve">Both pillars share a single engineering discipline, a single connector library, a single reference architecture, and one non-negotiable IP-protection principle: the venture's sensitive intellectual property — curated knowledge bases, multi-agent design, calculator logic, rubrics and prompts, rendering templates, validator rules — lives on the venture's remote MCP backend, not in the client's environment. The client-side surface is a thin skill interface that calls the backend over an authenticated protocol. The exact split between client and server, and the operational details of the backend, are implementation decisions made per instrument; what is invariant is that the venture's IP does not ship inside the client environment.</w:t>
      </w:r>
    </w:p>
    <w:p>
      <w:pPr>
        <w:spacing w:after="120" w:line="300"/>
        <w:jc w:val="left"/>
      </w:pPr>
      <w:r>
        <w:rPr>
          <w:rFonts w:ascii="Arial" w:cs="Arial" w:eastAsia="Arial" w:hAnsi="Arial"/>
          <w:b w:val="false"/>
          <w:bCs w:val="false"/>
          <w:i w:val="false"/>
          <w:iCs w:val="false"/>
          <w:sz w:val="22"/>
          <w:szCs w:val="22"/>
        </w:rPr>
        <w:t xml:space="preserve">The distinction between the two pillars is therefore the operational complexity of the backend, not whether there is a backend. An instrument whose backend complexity outgrows Pillar-1 operation graduates to a Pillar-2 engagement through the shared infrastructure rather than through a rebuild.</w:t>
      </w:r>
    </w:p>
    <w:p>
      <w:pPr>
        <w:pStyle w:val="Heading1"/>
        <w:spacing w:after="180" w:before="360"/>
      </w:pPr>
      <w:r>
        <w:rPr>
          <w:rFonts w:ascii="Arial" w:cs="Arial" w:eastAsia="Arial" w:hAnsi="Arial"/>
          <w:b/>
          <w:bCs/>
          <w:sz w:val="32"/>
          <w:szCs w:val="32"/>
        </w:rPr>
        <w:t xml:space="preserve">2. Context assumed by this plan</w:t>
      </w:r>
    </w:p>
    <w:p>
      <w:pPr>
        <w:spacing w:after="120" w:line="300"/>
        <w:jc w:val="left"/>
      </w:pPr>
      <w:r>
        <w:rPr>
          <w:rFonts w:ascii="Arial" w:cs="Arial" w:eastAsia="Arial" w:hAnsi="Arial"/>
          <w:b w:val="false"/>
          <w:bCs w:val="false"/>
          <w:i w:val="false"/>
          <w:iCs w:val="false"/>
          <w:sz w:val="22"/>
          <w:szCs w:val="22"/>
        </w:rPr>
        <w:t xml:space="preserve">This plan takes the following as given inputs. They are the context the AI lead was asked to build against, and the feasibility reasoning in sections 3 through 8 rests on them.</w:t>
      </w:r>
    </w:p>
    <w:p>
      <w:pPr>
        <w:pStyle w:val="Heading2"/>
        <w:spacing w:after="140" w:before="280"/>
      </w:pPr>
      <w:r>
        <w:rPr>
          <w:rFonts w:ascii="Arial" w:cs="Arial" w:eastAsia="Arial" w:hAnsi="Arial"/>
          <w:b/>
          <w:bCs/>
          <w:sz w:val="28"/>
          <w:szCs w:val="28"/>
        </w:rPr>
        <w:t xml:space="preserve">2.0 Why AI adoption is inevitable in Vietnamese businesses and government</w:t>
      </w:r>
    </w:p>
    <w:p>
      <w:pPr>
        <w:spacing w:after="120" w:line="300"/>
        <w:jc w:val="left"/>
      </w:pPr>
      <w:r>
        <w:rPr>
          <w:rFonts w:ascii="Arial" w:cs="Arial" w:eastAsia="Arial" w:hAnsi="Arial"/>
          <w:b w:val="false"/>
          <w:bCs w:val="false"/>
          <w:i w:val="false"/>
          <w:iCs w:val="false"/>
          <w:sz w:val="22"/>
          <w:szCs w:val="22"/>
        </w:rPr>
        <w:t xml:space="preserve">The plan does not argue market demand — that is the business plan's scope. But the feasibility reasoning rests on a structural fact: AI adoption in Vietnamese businesses and government is already in motion, pushed by six forces that the venture's work is positioned inside. The legs below are stated tightly, as context not as commercial argument; the business plan will quantify them.</w:t>
      </w:r>
    </w:p>
    <w:p>
      <w:pPr>
        <w:pStyle w:val="ListParagraph"/>
        <w:numPr>
          <w:ilvl w:val="0"/>
          <w:numId w:val="2"/>
        </w:numPr>
        <w:spacing w:after="80" w:line="300"/>
      </w:pPr>
      <w:r>
        <w:rPr>
          <w:rFonts w:ascii="Arial" w:cs="Arial" w:eastAsia="Arial" w:hAnsi="Arial"/>
          <w:b/>
          <w:bCs/>
          <w:sz w:val="22"/>
          <w:szCs w:val="22"/>
        </w:rPr>
        <w:t xml:space="preserve">Economic. </w:t>
      </w:r>
      <w:r>
        <w:rPr>
          <w:rFonts w:ascii="Arial" w:cs="Arial" w:eastAsia="Arial" w:hAnsi="Arial"/>
          <w:sz w:val="22"/>
          <w:szCs w:val="22"/>
        </w:rPr>
        <w:t xml:space="preserve">A $100/month Claude Max subscription delivers continuous access to a general-purpose agent that can call custom skills, read documents, search the web, and coordinate with connected systems. The cost comparison in operations is no longer "software vs manual" but "agent-assisted operator vs unassisted operator." The cost gap is transparent and small, and it is already priced into how Vietnamese businesses think about hiring and tooling in 2026.</w:t>
      </w:r>
    </w:p>
    <w:p>
      <w:pPr>
        <w:pStyle w:val="ListParagraph"/>
        <w:numPr>
          <w:ilvl w:val="0"/>
          <w:numId w:val="2"/>
        </w:numPr>
        <w:spacing w:after="80" w:line="300"/>
      </w:pPr>
      <w:r>
        <w:rPr>
          <w:rFonts w:ascii="Arial" w:cs="Arial" w:eastAsia="Arial" w:hAnsi="Arial"/>
          <w:b/>
          <w:bCs/>
          <w:sz w:val="22"/>
          <w:szCs w:val="22"/>
        </w:rPr>
        <w:t xml:space="preserve">Management. </w:t>
      </w:r>
      <w:r>
        <w:rPr>
          <w:rFonts w:ascii="Arial" w:cs="Arial" w:eastAsia="Arial" w:hAnsi="Arial"/>
          <w:sz w:val="22"/>
          <w:szCs w:val="22"/>
        </w:rPr>
        <w:t xml:space="preserve">Vietnamese owner-operated businesses and mid-sized firms tend to run on shallow middle management and weak written process. A well-designed agentic instrument forces process documentation into existence as a byproduct of being built. Management layers that historically resisted formal SOPs accept it when it arrives as a working tool rather than a compliance exercise.</w:t>
      </w:r>
    </w:p>
    <w:p>
      <w:pPr>
        <w:pStyle w:val="ListParagraph"/>
        <w:numPr>
          <w:ilvl w:val="0"/>
          <w:numId w:val="2"/>
        </w:numPr>
        <w:spacing w:after="80" w:line="300"/>
      </w:pPr>
      <w:r>
        <w:rPr>
          <w:rFonts w:ascii="Arial" w:cs="Arial" w:eastAsia="Arial" w:hAnsi="Arial"/>
          <w:b/>
          <w:bCs/>
          <w:sz w:val="22"/>
          <w:szCs w:val="22"/>
        </w:rPr>
        <w:t xml:space="preserve">Technology. </w:t>
      </w:r>
      <w:r>
        <w:rPr>
          <w:rFonts w:ascii="Arial" w:cs="Arial" w:eastAsia="Arial" w:hAnsi="Arial"/>
          <w:sz w:val="22"/>
          <w:szCs w:val="22"/>
        </w:rPr>
        <w:t xml:space="preserve">Agentic systems sit on top of the stack the business already runs — Zalo, Excel, one ERP, Vietnamese-language documents — and do not demand migration. Adoption is non-disruptive at the infrastructure layer, which means the gate is permission-to-deploy, not permission-to-replatform. Claude's Vietnamese-language capability raises the local ceiling further.</w:t>
      </w:r>
    </w:p>
    <w:p>
      <w:pPr>
        <w:pStyle w:val="ListParagraph"/>
        <w:numPr>
          <w:ilvl w:val="0"/>
          <w:numId w:val="2"/>
        </w:numPr>
        <w:spacing w:after="80" w:line="300"/>
      </w:pPr>
      <w:r>
        <w:rPr>
          <w:rFonts w:ascii="Arial" w:cs="Arial" w:eastAsia="Arial" w:hAnsi="Arial"/>
          <w:b/>
          <w:bCs/>
          <w:sz w:val="22"/>
          <w:szCs w:val="22"/>
        </w:rPr>
        <w:t xml:space="preserve">Cultural-linguistic. </w:t>
      </w:r>
      <w:r>
        <w:rPr>
          <w:rFonts w:ascii="Arial" w:cs="Arial" w:eastAsia="Arial" w:hAnsi="Arial"/>
          <w:sz w:val="22"/>
          <w:szCs w:val="22"/>
        </w:rPr>
        <w:t xml:space="preserve">Vietnamese businesses operate in Vietnamese — customer communications, contracts, tax submissions, internal conversation. Generic English-first plugins do not meet this reality. Instruments built from Vietnamese primary context — Vietnamese legal corpora, Vietnamese cultural-norm knowledge bases, Vietnamese operational conventions — are structurally advantaged in ways generic model improvement does not close.</w:t>
      </w:r>
    </w:p>
    <w:p>
      <w:pPr>
        <w:pStyle w:val="ListParagraph"/>
        <w:numPr>
          <w:ilvl w:val="0"/>
          <w:numId w:val="2"/>
        </w:numPr>
        <w:spacing w:after="80" w:line="300"/>
      </w:pPr>
      <w:r>
        <w:rPr>
          <w:rFonts w:ascii="Arial" w:cs="Arial" w:eastAsia="Arial" w:hAnsi="Arial"/>
          <w:b/>
          <w:bCs/>
          <w:sz w:val="22"/>
          <w:szCs w:val="22"/>
        </w:rPr>
        <w:t xml:space="preserve">Regulatory and policy. </w:t>
      </w:r>
      <w:r>
        <w:rPr>
          <w:rFonts w:ascii="Arial" w:cs="Arial" w:eastAsia="Arial" w:hAnsi="Arial"/>
          <w:sz w:val="22"/>
          <w:szCs w:val="22"/>
        </w:rPr>
        <w:t xml:space="preserve">The Vietnamese state is an active participant in the AI-adoption curve through the National Strategy on AI to 2030, the digital-transformation programme, and public-sector AI initiatives. On the constraint side, the Law on Cybersecurity and the Personal Data Protection Decree (Decree 13/2023) channel adoption toward providers who can demonstrate engineering discipline — instrument-grade deployment with curated KBs, audit trails, and tenanted identity is favoured over improvised skills.</w:t>
      </w:r>
    </w:p>
    <w:p>
      <w:pPr>
        <w:pStyle w:val="ListParagraph"/>
        <w:numPr>
          <w:ilvl w:val="0"/>
          <w:numId w:val="2"/>
        </w:numPr>
        <w:spacing w:after="80" w:line="300"/>
      </w:pPr>
      <w:r>
        <w:rPr>
          <w:rFonts w:ascii="Arial" w:cs="Arial" w:eastAsia="Arial" w:hAnsi="Arial"/>
          <w:b/>
          <w:bCs/>
          <w:sz w:val="22"/>
          <w:szCs w:val="22"/>
        </w:rPr>
        <w:t xml:space="preserve">Geopolitical and market-structure. </w:t>
      </w:r>
      <w:r>
        <w:rPr>
          <w:rFonts w:ascii="Arial" w:cs="Arial" w:eastAsia="Arial" w:hAnsi="Arial"/>
          <w:sz w:val="22"/>
          <w:szCs w:val="22"/>
        </w:rPr>
        <w:t xml:space="preserve">Vietnam is a beneficiary of supply-chain realignment and a participant in ASEAN/APAC trade structures. Vietnamese firms competing regionally face adoption pressure arriving from outside the country — regional customers and counterparts increasingly expect AI-assisted quality, service, and compliance operations. Instruments curated for Vietnam's legal, cultural, and operational reality also serve Vietnamese-diaspora and Vietnamese-language operations across the region, which expands the deployment surface beyond the country's borders.</w:t>
      </w:r>
    </w:p>
    <w:p>
      <w:pPr>
        <w:spacing w:after="120" w:line="300"/>
        <w:jc w:val="left"/>
      </w:pPr>
      <w:r>
        <w:rPr>
          <w:rFonts w:ascii="Arial" w:cs="Arial" w:eastAsia="Arial" w:hAnsi="Arial"/>
          <w:b w:val="false"/>
          <w:bCs w:val="false"/>
          <w:i w:val="false"/>
          <w:iCs w:val="false"/>
          <w:sz w:val="22"/>
          <w:szCs w:val="22"/>
        </w:rPr>
        <w:t xml:space="preserve">These six forces combine into a market in which Vietnamese businesses and government will adopt agentic capability at scale over the next several years. The venture's job is not to create this demand; it is to arrive with the engineering discipline that the rest of this plan specifies.</w:t>
      </w:r>
    </w:p>
    <w:p>
      <w:pPr>
        <w:pStyle w:val="Heading2"/>
        <w:spacing w:after="140" w:before="280"/>
      </w:pPr>
      <w:r>
        <w:rPr>
          <w:rFonts w:ascii="Arial" w:cs="Arial" w:eastAsia="Arial" w:hAnsi="Arial"/>
          <w:b/>
          <w:bCs/>
          <w:sz w:val="28"/>
          <w:szCs w:val="28"/>
        </w:rPr>
        <w:t xml:space="preserve">2.1 Team</w:t>
      </w:r>
    </w:p>
    <w:p>
      <w:pPr>
        <w:spacing w:after="120" w:line="300"/>
        <w:jc w:val="left"/>
      </w:pPr>
      <w:r>
        <w:rPr>
          <w:rFonts w:ascii="Arial" w:cs="Arial" w:eastAsia="Arial" w:hAnsi="Arial"/>
          <w:b w:val="false"/>
          <w:bCs w:val="false"/>
          <w:i w:val="false"/>
          <w:iCs w:val="false"/>
          <w:sz w:val="22"/>
          <w:szCs w:val="22"/>
        </w:rPr>
        <w:t xml:space="preserve">A starting team of three — two standing, one per-engagement. The two standing members are the AI Lead (Sơn — at one-third stated load delivering full-FTE-equivalent output) and the Agentic AI Dev (full-time, also carrying the Product Owner role). The per-engagement member is Bằng (Software Architect, BigSmall-seconded, drawn in for Pillar-2 backend work at the QS-quote reference rate — not a standing venture headcount, priced into each Pillar-2 engagement that requires architecture). Expansion hires are triggered by workload, per section 6.</w:t>
      </w:r>
    </w:p>
    <w:p>
      <w:pPr>
        <w:pStyle w:val="Heading2"/>
        <w:spacing w:after="140" w:before="280"/>
      </w:pPr>
      <w:r>
        <w:rPr>
          <w:rFonts w:ascii="Arial" w:cs="Arial" w:eastAsia="Arial" w:hAnsi="Arial"/>
          <w:b/>
          <w:bCs/>
          <w:sz w:val="28"/>
          <w:szCs w:val="28"/>
        </w:rPr>
        <w:t xml:space="preserve">2.2 Reference instances</w:t>
      </w:r>
    </w:p>
    <w:p>
      <w:pPr>
        <w:spacing w:after="120" w:line="300"/>
        <w:jc w:val="left"/>
      </w:pPr>
      <w:r>
        <w:rPr>
          <w:rFonts w:ascii="Arial" w:cs="Arial" w:eastAsia="Arial" w:hAnsi="Arial"/>
          <w:b w:val="false"/>
          <w:bCs w:val="false"/>
          <w:i w:val="false"/>
          <w:iCs w:val="false"/>
          <w:sz w:val="22"/>
          <w:szCs w:val="22"/>
        </w:rPr>
        <w:t xml:space="preserve">Three production-grade reference instances anchor the plan, each demonstrating the team's engineering discipline in a different zone of the agentic-system landscape:</w:t>
      </w:r>
    </w:p>
    <w:p>
      <w:pPr>
        <w:pStyle w:val="ListParagraph"/>
        <w:numPr>
          <w:ilvl w:val="0"/>
          <w:numId w:val="2"/>
        </w:numPr>
        <w:spacing w:after="80" w:line="300"/>
      </w:pPr>
      <w:r>
        <w:rPr>
          <w:rFonts w:ascii="Arial" w:cs="Arial" w:eastAsia="Arial" w:hAnsi="Arial"/>
          <w:b/>
          <w:bCs/>
          <w:sz w:val="22"/>
          <w:szCs w:val="22"/>
        </w:rPr>
        <w:t xml:space="preserve">Mindgap </w:t>
      </w:r>
      <w:r>
        <w:rPr>
          <w:rFonts w:ascii="Arial" w:cs="Arial" w:eastAsia="Arial" w:hAnsi="Arial"/>
          <w:sz w:val="22"/>
          <w:szCs w:val="22"/>
        </w:rPr>
        <w:t xml:space="preserve">(marketing-intelligence plugin, v0.16.1, KB v2026.04-r3) — the first reference instance of a Pillar-1 agentic instrument, already in production as first-party work of BigSmall AI. Architecture is the empirical anchor for the 12-property instrument definition in section 3.1.</w:t>
      </w:r>
    </w:p>
    <w:p>
      <w:pPr>
        <w:pStyle w:val="ListParagraph"/>
        <w:numPr>
          <w:ilvl w:val="0"/>
          <w:numId w:val="2"/>
        </w:numPr>
        <w:spacing w:after="80" w:line="300"/>
      </w:pPr>
      <w:r>
        <w:rPr>
          <w:rFonts w:ascii="Arial" w:cs="Arial" w:eastAsia="Arial" w:hAnsi="Arial"/>
          <w:b/>
          <w:bCs/>
          <w:sz w:val="22"/>
          <w:szCs w:val="22"/>
        </w:rPr>
        <w:t xml:space="preserve">ATP </w:t>
      </w:r>
      <w:r>
        <w:rPr>
          <w:rFonts w:ascii="Arial" w:cs="Arial" w:eastAsia="Arial" w:hAnsi="Arial"/>
          <w:sz w:val="22"/>
          <w:szCs w:val="22"/>
        </w:rPr>
        <w:t xml:space="preserve">(Agentic Transaction Platform, atp.bigsmallai.com) — the first reference instance of a Pillar-2 agentic system (backend-bound governance analysis for Vietnam crypto exchanges), already in production as first-party work of BigSmall AI. Architecture is the empirical anchor for the reference architecture in section 3.2.</w:t>
      </w:r>
    </w:p>
    <w:p>
      <w:pPr>
        <w:pStyle w:val="ListParagraph"/>
        <w:numPr>
          <w:ilvl w:val="0"/>
          <w:numId w:val="2"/>
        </w:numPr>
        <w:spacing w:after="80" w:line="300"/>
      </w:pPr>
      <w:r>
        <w:rPr>
          <w:rFonts w:ascii="Arial" w:cs="Arial" w:eastAsia="Arial" w:hAnsi="Arial"/>
          <w:b/>
          <w:bCs/>
          <w:sz w:val="22"/>
          <w:szCs w:val="22"/>
        </w:rPr>
        <w:t xml:space="preserve">Agent Rung </w:t>
      </w:r>
      <w:r>
        <w:rPr>
          <w:rFonts w:ascii="Arial" w:cs="Arial" w:eastAsia="Arial" w:hAnsi="Arial"/>
          <w:sz w:val="22"/>
          <w:szCs w:val="22"/>
        </w:rPr>
        <w:t xml:space="preserve">(agentrung.ai) — a first-of-its-kind agentic system that autonomously connects to a real-world Programmable Logic Controller (PLC), reads live state, forms hypotheses, verifies against hardware, and proposes or executes writes that change physical-world state. Demonstrates the team's capability in the Pillar-2 cyber-physical zone — AI reasoning composed with real-world actuation, which is the same pattern the Innovation Centre's AI × IoT cross-venture engagements will build on. First-party work of Panalogy Lab, already in production.</w:t>
      </w:r>
    </w:p>
    <w:p>
      <w:pPr>
        <w:spacing w:after="120" w:line="300"/>
        <w:jc w:val="left"/>
      </w:pPr>
      <w:r>
        <w:rPr>
          <w:rFonts w:ascii="Arial" w:cs="Arial" w:eastAsia="Arial" w:hAnsi="Arial"/>
          <w:b w:val="false"/>
          <w:bCs w:val="false"/>
          <w:i w:val="false"/>
          <w:iCs w:val="false"/>
          <w:sz w:val="22"/>
          <w:szCs w:val="22"/>
        </w:rPr>
        <w:t xml:space="preserve">All three reference instances remain the property of their originating lab (BigSmall AI for Mindgap and ATP; Panalogy Lab for Agent Rung) and are cited here as portfolio evidence of demonstrated capability. The venture's own Pillar-1 instruments and Pillar-2 systems are new builds produced under the same engineering discipline.</w:t>
      </w:r>
    </w:p>
    <w:p>
      <w:pPr>
        <w:pStyle w:val="Heading2"/>
        <w:spacing w:after="140" w:before="280"/>
      </w:pPr>
      <w:r>
        <w:rPr>
          <w:rFonts w:ascii="Arial" w:cs="Arial" w:eastAsia="Arial" w:hAnsi="Arial"/>
          <w:b/>
          <w:bCs/>
          <w:sz w:val="28"/>
          <w:szCs w:val="28"/>
        </w:rPr>
        <w:t xml:space="preserve">2.3 Innovation Centre composition</w:t>
      </w:r>
    </w:p>
    <w:p>
      <w:pPr>
        <w:spacing w:after="120" w:line="300"/>
        <w:jc w:val="left"/>
      </w:pPr>
      <w:r>
        <w:rPr>
          <w:rFonts w:ascii="Arial" w:cs="Arial" w:eastAsia="Arial" w:hAnsi="Arial"/>
          <w:b w:val="false"/>
          <w:bCs w:val="false"/>
          <w:i w:val="false"/>
          <w:iCs w:val="false"/>
          <w:sz w:val="22"/>
          <w:szCs w:val="22"/>
        </w:rPr>
        <w:t xml:space="preserve">The AI venture operates alongside an existing cybersecurity company and an existing IoT company within the Innovation Centre. This plan assumes both are available as structural inputs into AI-venture engagements — not as optional cross-sells — and the feasibility analysis in section 3.3 (synergy) and in sections 4 (technical differentiation) and 5.4 (Pillar 2) relies on that availability.</w:t>
      </w:r>
    </w:p>
    <w:p>
      <w:pPr>
        <w:pStyle w:val="Heading2"/>
        <w:spacing w:after="140" w:before="280"/>
      </w:pPr>
      <w:r>
        <w:rPr>
          <w:rFonts w:ascii="Arial" w:cs="Arial" w:eastAsia="Arial" w:hAnsi="Arial"/>
          <w:b/>
          <w:bCs/>
          <w:sz w:val="28"/>
          <w:szCs w:val="28"/>
        </w:rPr>
        <w:t xml:space="preserve">2.4 Deployment surface</w:t>
      </w:r>
    </w:p>
    <w:p>
      <w:pPr>
        <w:spacing w:after="120" w:line="300"/>
        <w:jc w:val="left"/>
      </w:pPr>
      <w:r>
        <w:rPr>
          <w:rFonts w:ascii="Arial" w:cs="Arial" w:eastAsia="Arial" w:hAnsi="Arial"/>
          <w:b w:val="false"/>
          <w:bCs w:val="false"/>
          <w:i w:val="false"/>
          <w:iCs w:val="false"/>
          <w:sz w:val="22"/>
          <w:szCs w:val="22"/>
        </w:rPr>
        <w:t xml:space="preserve">Vietnamese businesses and government as the primary deployment surface, with Vietnamese language, Vietnamese regulatory context, Vietnamese operational conventions, and the local ERP / e-invoice / messaging stack (MISA, Bravo, Fast, Effect; MISA/Viettel/FPT e-invoice; Zalo) as the real client systems the venture's instruments must integrate with.</w:t>
      </w:r>
    </w:p>
    <w:p>
      <w:pPr>
        <w:pStyle w:val="Heading2"/>
        <w:spacing w:after="140" w:before="280"/>
      </w:pPr>
      <w:r>
        <w:rPr>
          <w:rFonts w:ascii="Arial" w:cs="Arial" w:eastAsia="Arial" w:hAnsi="Arial"/>
          <w:b/>
          <w:bCs/>
          <w:sz w:val="28"/>
          <w:szCs w:val="28"/>
        </w:rPr>
        <w:t xml:space="preserve">2.5 Out of scope — demand and commercials</w:t>
      </w:r>
    </w:p>
    <w:p>
      <w:pPr>
        <w:spacing w:after="120" w:line="300"/>
        <w:jc w:val="left"/>
      </w:pPr>
      <w:r>
        <w:rPr>
          <w:rFonts w:ascii="Arial" w:cs="Arial" w:eastAsia="Arial" w:hAnsi="Arial"/>
          <w:b w:val="false"/>
          <w:bCs w:val="false"/>
          <w:i w:val="false"/>
          <w:iCs w:val="false"/>
          <w:sz w:val="22"/>
          <w:szCs w:val="22"/>
        </w:rPr>
        <w:t xml:space="preserve">Market demand for AI adoption in Vietnam — whether it exists, how large it is, how fast it is growing, and what forces drive it — is not argued in this plan. This plan assumes demand exists; whether demand is sufficient, how it segments, and how it is converted into revenue are questions for the business plan. Pricing, packaging, margins, revenue targets, and go-to-market are also out of scope.</w:t>
      </w:r>
    </w:p>
    <w:p>
      <w:pPr>
        <w:pStyle w:val="Heading2"/>
        <w:spacing w:after="140" w:before="280"/>
      </w:pPr>
      <w:r>
        <w:rPr>
          <w:rFonts w:ascii="Arial" w:cs="Arial" w:eastAsia="Arial" w:hAnsi="Arial"/>
          <w:b/>
          <w:bCs/>
          <w:sz w:val="28"/>
          <w:szCs w:val="28"/>
        </w:rPr>
        <w:t xml:space="preserve">2.6 Origin of this plan</w:t>
      </w:r>
    </w:p>
    <w:p>
      <w:pPr>
        <w:spacing w:after="120" w:line="300"/>
        <w:jc w:val="left"/>
      </w:pPr>
      <w:r>
        <w:rPr>
          <w:rFonts w:ascii="Arial" w:cs="Arial" w:eastAsia="Arial" w:hAnsi="Arial"/>
          <w:b w:val="false"/>
          <w:bCs w:val="false"/>
          <w:i w:val="false"/>
          <w:iCs w:val="false"/>
          <w:sz w:val="22"/>
          <w:szCs w:val="22"/>
        </w:rPr>
        <w:t xml:space="preserve">This plan did not begin as an abstract exercise. It began with a concrete engagement request: Hằng (the person building the Innovation Centre) approached Bằng (cofounder at BigSmall AI) for a quote on an agentic system to support the Quality Survey (QS) operation of her real-estate company. Bằng produced a six-month MVP quote covering design upload, material and task take-off, AI-generated bid packages with market-price surveys, and price-band recommendations — a team of six (AI Lead, Software Architect, PO, two developers, one QC), with a 1.59 bn VND cost basis packaged at 1.2 bn VND plus a 30-50% equity stake in the project for BigSmall.</w:t>
      </w:r>
    </w:p>
    <w:p>
      <w:pPr>
        <w:spacing w:after="120" w:line="300"/>
        <w:jc w:val="left"/>
      </w:pPr>
      <w:r>
        <w:rPr>
          <w:rFonts w:ascii="Arial" w:cs="Arial" w:eastAsia="Arial" w:hAnsi="Arial"/>
          <w:b w:val="false"/>
          <w:bCs w:val="false"/>
          <w:i w:val="false"/>
          <w:iCs w:val="false"/>
          <w:sz w:val="22"/>
          <w:szCs w:val="22"/>
        </w:rPr>
        <w:t xml:space="preserve">From that single engagement, the plan generalises. The QS work is a Pillar-2 agentic system — backend-bound, domain-specialised, cross-venture-composable. Rather than treat it as a one-off project, the plan proposes the Innovation Centre stand up an AI venture that performs this class of work repeatedly — building Claude-side instruments (Pillar 1) and backend agentic systems (Pillar 2) for clients like Hằng and beyond. A workshop with Hằng's marketing team using Mindgap (the venture's Pillar-1 reference instance) confirmed the instrument class is immediately useful to her operation. The QS quote therefore anchors the Pillar-2 cost physics throughout this plan (see sections 7.2 and 7.5).</w:t>
      </w:r>
    </w:p>
    <w:p>
      <w:pPr>
        <w:spacing w:after="120" w:line="300"/>
        <w:jc w:val="left"/>
      </w:pPr>
      <w:r>
        <w:rPr>
          <w:rFonts w:ascii="Arial" w:cs="Arial" w:eastAsia="Arial" w:hAnsi="Arial"/>
          <w:b w:val="false"/>
          <w:bCs w:val="false"/>
          <w:i w:val="false"/>
          <w:iCs w:val="false"/>
          <w:sz w:val="22"/>
          <w:szCs w:val="22"/>
        </w:rPr>
        <w:t xml:space="preserve">The author was asked for a plan on the AI pillar of the Innovation Centre. The author was explicit that the brief was not a business plan — pricing, revenue model, market strategy, and commercial positioning are not in scope here and are the business plan's to develop.</w:t>
      </w:r>
    </w:p>
    <w:p>
      <w:pPr>
        <w:pStyle w:val="Heading2"/>
        <w:spacing w:after="140" w:before="280"/>
      </w:pPr>
      <w:r>
        <w:rPr>
          <w:rFonts w:ascii="Arial" w:cs="Arial" w:eastAsia="Arial" w:hAnsi="Arial"/>
          <w:b/>
          <w:bCs/>
          <w:sz w:val="28"/>
          <w:szCs w:val="28"/>
        </w:rPr>
        <w:t xml:space="preserve">2.7 BigSmall partnership — structural assumption</w:t>
      </w:r>
    </w:p>
    <w:p>
      <w:pPr>
        <w:spacing w:after="120" w:line="300"/>
        <w:jc w:val="left"/>
      </w:pPr>
      <w:r>
        <w:rPr>
          <w:rFonts w:ascii="Arial" w:cs="Arial" w:eastAsia="Arial" w:hAnsi="Arial"/>
          <w:b w:val="false"/>
          <w:bCs w:val="false"/>
          <w:i w:val="false"/>
          <w:iCs w:val="false"/>
          <w:sz w:val="22"/>
          <w:szCs w:val="22"/>
        </w:rPr>
        <w:t xml:space="preserve">The plan's team and cost picture rests on an assumed partnership between the AI venture and BigSmall AI. BigSmall does not transfer IP ownership to the venture. What the partnership brings the venture, and what BigSmall brings to the table, are the following:</w:t>
      </w:r>
    </w:p>
    <w:p>
      <w:pPr>
        <w:pStyle w:val="ListParagraph"/>
        <w:numPr>
          <w:ilvl w:val="0"/>
          <w:numId w:val="2"/>
        </w:numPr>
        <w:spacing w:after="80" w:line="300"/>
      </w:pPr>
      <w:r>
        <w:rPr>
          <w:rFonts w:ascii="Arial" w:cs="Arial" w:eastAsia="Arial" w:hAnsi="Arial"/>
          <w:sz w:val="22"/>
          <w:szCs w:val="22"/>
        </w:rPr>
        <w:t xml:space="preserve">Demonstrated capability, evidenced by BigSmall's portfolio — Mindgap and ATP, which are in production today. These are cited throughout this plan as reference instances to show that the team can build instrument-grade and system-grade artefacts of the class described in sections 3 and 4. Mindgap and ATP remain BigSmall's property; the venture's own Pillar-1 instruments and Pillar-2 systems are new work built by the venture's team under the same engineering discipline the reference instances demonstrate.</w:t>
      </w:r>
    </w:p>
    <w:p>
      <w:pPr>
        <w:pStyle w:val="ListParagraph"/>
        <w:numPr>
          <w:ilvl w:val="0"/>
          <w:numId w:val="2"/>
        </w:numPr>
        <w:spacing w:after="80" w:line="300"/>
      </w:pPr>
      <w:r>
        <w:rPr>
          <w:rFonts w:ascii="Arial" w:cs="Arial" w:eastAsia="Arial" w:hAnsi="Arial"/>
          <w:sz w:val="22"/>
          <w:szCs w:val="22"/>
        </w:rPr>
        <w:t xml:space="preserve">Talent — Sơn as AI Lead (a BigSmall-affiliated principal; the 120M VND/month figure traces to Bằng's QS project quote and reflects the BigSmall-partnership rate, not an arms-length international benchmark), the Agentic AI Dev seconded from BigSmall at a Vietnamese-market minimum rate, and Bằng's Software Architect capacity available on a per-engagement basis for Pillar-2 work (priced against the QS quote — see section 7.5).</w:t>
      </w:r>
    </w:p>
    <w:p>
      <w:pPr>
        <w:pStyle w:val="ListParagraph"/>
        <w:numPr>
          <w:ilvl w:val="0"/>
          <w:numId w:val="2"/>
        </w:numPr>
        <w:spacing w:after="80" w:line="300"/>
      </w:pPr>
      <w:r>
        <w:rPr>
          <w:rFonts w:ascii="Arial" w:cs="Arial" w:eastAsia="Arial" w:hAnsi="Arial"/>
          <w:sz w:val="22"/>
          <w:szCs w:val="22"/>
        </w:rPr>
        <w:t xml:space="preserve">A low-cost basis for the venture's engagements, demonstrated by the QS project quote itself — a 1.59 bn VND cost basis over six months for a six-person Pillar-2 build, which is only feasible because BigSmall is a partner with skin in the game, not an arms-length vendor.</w:t>
      </w:r>
    </w:p>
    <w:p>
      <w:pPr>
        <w:spacing w:after="120" w:line="300"/>
        <w:jc w:val="left"/>
      </w:pPr>
      <w:r>
        <w:rPr>
          <w:rFonts w:ascii="Arial" w:cs="Arial" w:eastAsia="Arial" w:hAnsi="Arial"/>
          <w:b w:val="false"/>
          <w:bCs w:val="false"/>
          <w:i w:val="false"/>
          <w:iCs w:val="false"/>
          <w:sz w:val="22"/>
          <w:szCs w:val="22"/>
        </w:rPr>
        <w:t xml:space="preserve">In exchange for this demonstrated capability, talent, and favourable cost basis — the brain power the BigSmall portfolio proves, not a transfer of Mindgap or ATP themselves — BigSmall is expected to hold a large equity share in the AI venture. The specifics of the equity arrangement, the governance terms, the IP-licensing or reference-use terms between BigSmall and the venture, and the inter-company commercial framework are out of scope for this AI plan and are for the business plan and the Innovation Centre's structure to determine. This plan flags the partnership as a structural assumption so that readers understand (a) the low per-head rates here are partnership-favoured rates contingent on the equity arrangement being in place, and (b) Mindgap and ATP are cited as evidence of capability, not as assets the venture owns.</w:t>
      </w:r>
    </w:p>
    <w:p>
      <w:pPr>
        <w:pStyle w:val="Heading1"/>
        <w:spacing w:after="180" w:before="360"/>
      </w:pPr>
      <w:r>
        <w:rPr>
          <w:rFonts w:ascii="Arial" w:cs="Arial" w:eastAsia="Arial" w:hAnsi="Arial"/>
          <w:b/>
          <w:bCs/>
          <w:sz w:val="32"/>
          <w:szCs w:val="32"/>
        </w:rPr>
        <w:t xml:space="preserve">3. The two-pillar foundation</w:t>
      </w:r>
    </w:p>
    <w:p>
      <w:pPr>
        <w:pStyle w:val="Heading2"/>
        <w:spacing w:after="140" w:before="280"/>
      </w:pPr>
      <w:r>
        <w:rPr>
          <w:rFonts w:ascii="Arial" w:cs="Arial" w:eastAsia="Arial" w:hAnsi="Arial"/>
          <w:b/>
          <w:bCs/>
          <w:sz w:val="28"/>
          <w:szCs w:val="28"/>
        </w:rPr>
        <w:t xml:space="preserve">3.1 Pillar 1 — Agentic Instruments</w:t>
      </w:r>
    </w:p>
    <w:p>
      <w:pPr>
        <w:spacing w:after="120" w:line="300"/>
        <w:jc w:val="left"/>
      </w:pPr>
      <w:r>
        <w:rPr>
          <w:rFonts w:ascii="Arial" w:cs="Arial" w:eastAsia="Arial" w:hAnsi="Arial"/>
          <w:b w:val="false"/>
          <w:bCs w:val="false"/>
          <w:i w:val="false"/>
          <w:iCs w:val="false"/>
          <w:sz w:val="22"/>
          <w:szCs w:val="22"/>
        </w:rPr>
        <w:t xml:space="preserve">An agentic instrument is a system whose user-facing surface is a thin Claude skill interface and whose substance — sensitive IP, curated knowledge, multi-agent logic, deterministic computation, rendering templates — lives on the venture's remote MCP backend (per the IP-protection principle in section 1). The instrument carries the following twelve structural properties; these properties describe the system as a whole, not just the client-side skill file. Mindgap — BigSmall's marketing-intelligence plugin — is the class's first reference instance in the partnership context; the twelve-property definition is a generalisation extracted from Mindgap's architecture. Mindgap remains BigSmall's work, currently being restructured to align with the IP-protection principle as it moves toward commercial deployment; the venture's own Pillar-1 instruments are new work built by the venture's team to the same discipline.</w:t>
      </w:r>
    </w:p>
    <w:p>
      <w:pPr>
        <w:pStyle w:val="Heading3"/>
        <w:spacing w:after="120" w:before="220"/>
      </w:pPr>
      <w:r>
        <w:rPr>
          <w:rFonts w:ascii="Arial" w:cs="Arial" w:eastAsia="Arial" w:hAnsi="Arial"/>
          <w:b/>
          <w:bCs/>
          <w:sz w:val="24"/>
          <w:szCs w:val="24"/>
        </w:rPr>
        <w:t xml:space="preserve">The twelve properties</w:t>
      </w:r>
    </w:p>
    <w:p>
      <w:pPr>
        <w:pStyle w:val="ListParagraph"/>
        <w:numPr>
          <w:ilvl w:val="0"/>
          <w:numId w:val="3"/>
        </w:numPr>
        <w:spacing w:after="80" w:line="300"/>
      </w:pPr>
      <w:r>
        <w:rPr>
          <w:rFonts w:ascii="Arial" w:cs="Arial" w:eastAsia="Arial" w:hAnsi="Arial"/>
          <w:sz w:val="22"/>
          <w:szCs w:val="22"/>
        </w:rPr>
        <w:t xml:space="preserve">Versioned curated knowledge base. A domain corpus the instrument reads but the client does not rewrite, calendar-versioned, reviewed on cadence, fail-close or fail-soft per market. Mindgap's knowledge/ directory (VERSION 2026.04-r3, Vietnamese and Chinese norm libraries, global floor rules) is the reference.</w:t>
      </w:r>
    </w:p>
    <w:p>
      <w:pPr>
        <w:pStyle w:val="ListParagraph"/>
        <w:numPr>
          <w:ilvl w:val="0"/>
          <w:numId w:val="3"/>
        </w:numPr>
        <w:spacing w:after="80" w:line="300"/>
      </w:pPr>
      <w:r>
        <w:rPr>
          <w:rFonts w:ascii="Arial" w:cs="Arial" w:eastAsia="Arial" w:hAnsi="Arial"/>
          <w:sz w:val="22"/>
          <w:szCs w:val="22"/>
        </w:rPr>
        <w:t xml:space="preserve">Designed multi-agent workflow. Specialist sub-agents dispatched in parallel with persona isolation — each with its own context window, question bank, and lens. Mindgap fans out five (perception, context, decision, agent, mediation) from a single skill task.</w:t>
      </w:r>
    </w:p>
    <w:p>
      <w:pPr>
        <w:pStyle w:val="ListParagraph"/>
        <w:numPr>
          <w:ilvl w:val="0"/>
          <w:numId w:val="3"/>
        </w:numPr>
        <w:spacing w:after="80" w:line="300"/>
      </w:pPr>
      <w:r>
        <w:rPr>
          <w:rFonts w:ascii="Arial" w:cs="Arial" w:eastAsia="Arial" w:hAnsi="Arial"/>
          <w:sz w:val="22"/>
          <w:szCs w:val="22"/>
        </w:rPr>
        <w:t xml:space="preserve">Deterministic calculators. Pure code — outside the LLM — that converts LLM-scored arrays into reproducible numbers. Geometric means, intensity normalisation, gate classification. Mindgap's h-score.py, a-score.py, m-score.py, r-score.py, override.py, recommendations.py form the reference set.</w:t>
      </w:r>
    </w:p>
    <w:p>
      <w:pPr>
        <w:pStyle w:val="ListParagraph"/>
        <w:numPr>
          <w:ilvl w:val="0"/>
          <w:numId w:val="3"/>
        </w:numPr>
        <w:spacing w:after="80" w:line="300"/>
      </w:pPr>
      <w:r>
        <w:rPr>
          <w:rFonts w:ascii="Arial" w:cs="Arial" w:eastAsia="Arial" w:hAnsi="Arial"/>
          <w:sz w:val="22"/>
          <w:szCs w:val="22"/>
        </w:rPr>
        <w:t xml:space="preserve">Risk-management and gating flow. A veto layer with typed outcomes, preconditions that refuse to run on missing input, floor rules that structurally reject overrides, and — where permitted — a signed override chain with validator-checked scope, expiry, and mitigation coverage.</w:t>
      </w:r>
    </w:p>
    <w:p>
      <w:pPr>
        <w:pStyle w:val="ListParagraph"/>
        <w:numPr>
          <w:ilvl w:val="0"/>
          <w:numId w:val="3"/>
        </w:numPr>
        <w:spacing w:after="80" w:line="300"/>
      </w:pPr>
      <w:r>
        <w:rPr>
          <w:rFonts w:ascii="Arial" w:cs="Arial" w:eastAsia="Arial" w:hAnsi="Arial"/>
          <w:sz w:val="22"/>
          <w:szCs w:val="22"/>
        </w:rPr>
        <w:t xml:space="preserve">Rendering contract. Single-file HTML outputs with inlined assets, pinned chart library versions, invariant sections, citation on every number, and a template-substitution-only contract that makes re-authoring a contract violation.</w:t>
      </w:r>
    </w:p>
    <w:p>
      <w:pPr>
        <w:pStyle w:val="ListParagraph"/>
        <w:numPr>
          <w:ilvl w:val="0"/>
          <w:numId w:val="3"/>
        </w:numPr>
        <w:spacing w:after="80" w:line="300"/>
      </w:pPr>
      <w:r>
        <w:rPr>
          <w:rFonts w:ascii="Arial" w:cs="Arial" w:eastAsia="Arial" w:hAnsi="Arial"/>
          <w:sz w:val="22"/>
          <w:szCs w:val="22"/>
        </w:rPr>
        <w:t xml:space="preserve">Cross-cutting references. Working-folder contract, elicitation-form contract, citation rule, report invariants, brand-loader — shared across every skill in the plugin so the discipline is coherent.</w:t>
      </w:r>
    </w:p>
    <w:p>
      <w:pPr>
        <w:pStyle w:val="ListParagraph"/>
        <w:numPr>
          <w:ilvl w:val="0"/>
          <w:numId w:val="3"/>
        </w:numPr>
        <w:spacing w:after="80" w:line="300"/>
      </w:pPr>
      <w:r>
        <w:rPr>
          <w:rFonts w:ascii="Arial" w:cs="Arial" w:eastAsia="Arial" w:hAnsi="Arial"/>
          <w:sz w:val="22"/>
          <w:szCs w:val="22"/>
        </w:rPr>
        <w:t xml:space="preserve">Validator. A script that enforces the contracts at build time — schema compliance, review freshness, trigger-vocabulary alignment, disallowed-element detection.</w:t>
      </w:r>
    </w:p>
    <w:p>
      <w:pPr>
        <w:pStyle w:val="ListParagraph"/>
        <w:numPr>
          <w:ilvl w:val="0"/>
          <w:numId w:val="3"/>
        </w:numPr>
        <w:spacing w:after="80" w:line="300"/>
      </w:pPr>
      <w:r>
        <w:rPr>
          <w:rFonts w:ascii="Arial" w:cs="Arial" w:eastAsia="Arial" w:hAnsi="Arial"/>
          <w:sz w:val="22"/>
          <w:szCs w:val="22"/>
        </w:rPr>
        <w:t xml:space="preserve">Supporting code infrastructure. Helper code beyond the calculators — video extractors, working-folder resolvers, template substituters, KB loaders, risk-brief assemblers.</w:t>
      </w:r>
    </w:p>
    <w:p>
      <w:pPr>
        <w:pStyle w:val="ListParagraph"/>
        <w:numPr>
          <w:ilvl w:val="0"/>
          <w:numId w:val="3"/>
        </w:numPr>
        <w:spacing w:after="80" w:line="300"/>
      </w:pPr>
      <w:r>
        <w:rPr>
          <w:rFonts w:ascii="Arial" w:cs="Arial" w:eastAsia="Arial" w:hAnsi="Arial"/>
          <w:sz w:val="22"/>
          <w:szCs w:val="22"/>
        </w:rPr>
        <w:t xml:space="preserve">Tenanted deployment posture with security, privacy, and IP-protection guarantees. Sensitive IP — KB, calculators, prompts, rubrics, rendering templates, validator rules — lives on the venture's remote MCP backend, not in the client's environment (the IP-protection principle in section 1). The client-side skill is a thin interface that calls the backend over an authenticated protocol. Tenanted identity, audit logging, data-flow documentation, update propagation, and PII handling are all part of this property. The exact split between client and server, the backend's hosting and operational posture, and the audit cadence are implementation decisions made per instrument; what is invariant is that the venture's IP does not ship inside the client environment. This property is where the cybersecurity company becomes a structural input rather than an optional cross-sell.</w:t>
      </w:r>
    </w:p>
    <w:p>
      <w:pPr>
        <w:pStyle w:val="ListParagraph"/>
        <w:numPr>
          <w:ilvl w:val="0"/>
          <w:numId w:val="3"/>
        </w:numPr>
        <w:spacing w:after="80" w:line="300"/>
      </w:pPr>
      <w:r>
        <w:rPr>
          <w:rFonts w:ascii="Arial" w:cs="Arial" w:eastAsia="Arial" w:hAnsi="Arial"/>
          <w:sz w:val="22"/>
          <w:szCs w:val="22"/>
        </w:rPr>
        <w:t xml:space="preserve">Typed external-data connector contract. Two sub-properties: (a) orchestration across Anthropic-native and MCP-ecosystem connectors for commodity SaaS sources — Google Drive, Notion, Figma, Slack, SharePoint, HubSpot, Box, etc., as Mindgap already demonstrates; and (b) custom connectors — MCP servers or direct adapters — for client-specific systems including local ERPs (MISA, Bravo, Fast, Effect), proprietary SQL databases, internal APIs, e-invoice providers, Zalo OA archives, and government submission portals. Custom-connector engineering is part of instrument deployment; accumulated connectors form a proprietary library that compounds across clients.</w:t>
      </w:r>
    </w:p>
    <w:p>
      <w:pPr>
        <w:pStyle w:val="ListParagraph"/>
        <w:numPr>
          <w:ilvl w:val="0"/>
          <w:numId w:val="3"/>
        </w:numPr>
        <w:spacing w:after="80" w:line="300"/>
      </w:pPr>
      <w:r>
        <w:rPr>
          <w:rFonts w:ascii="Arial" w:cs="Arial" w:eastAsia="Arial" w:hAnsi="Arial"/>
          <w:sz w:val="22"/>
          <w:szCs w:val="22"/>
        </w:rPr>
        <w:t xml:space="preserve">Quality agentic web search. A layer that separates curated knowledge (the plugin's KB, versioned) from live evidence (open-web search, real-time pulls), triggers search only when the pipeline calls for it, quality-filters and deduplicates returned evidence, marks live-evidence citations distinctly from KB citations, and degrades gracefully when search is unavailable.</w:t>
      </w:r>
    </w:p>
    <w:p>
      <w:pPr>
        <w:pStyle w:val="ListParagraph"/>
        <w:numPr>
          <w:ilvl w:val="0"/>
          <w:numId w:val="3"/>
        </w:numPr>
        <w:spacing w:after="80" w:line="300"/>
      </w:pPr>
      <w:r>
        <w:rPr>
          <w:rFonts w:ascii="Arial" w:cs="Arial" w:eastAsia="Arial" w:hAnsi="Arial"/>
          <w:sz w:val="22"/>
          <w:szCs w:val="22"/>
        </w:rPr>
        <w:t xml:space="preserve">Generative-modality integration. A model-routing layer (which model for which request), a prompt-translation layer (the instrument owns creative-brief-to-prompt translation), a safety and brand overlay (generated outputs pass the same risk and alignment checks as human-authored content), and an asset-persistence contract. Mindgap's create-content skill already integrates GPT Image, Midjourney, Flux, Sora, Veo 3.1, Runway.</w:t>
      </w:r>
    </w:p>
    <w:p>
      <w:pPr>
        <w:pStyle w:val="Heading3"/>
        <w:spacing w:after="120" w:before="220"/>
      </w:pPr>
      <w:r>
        <w:rPr>
          <w:rFonts w:ascii="Arial" w:cs="Arial" w:eastAsia="Arial" w:hAnsi="Arial"/>
          <w:b/>
          <w:bCs/>
          <w:sz w:val="24"/>
          <w:szCs w:val="24"/>
        </w:rPr>
        <w:t xml:space="preserve">Three-tier clustering of properties</w:t>
      </w:r>
    </w:p>
    <w:p>
      <w:pPr>
        <w:spacing w:after="120" w:line="300"/>
        <w:jc w:val="left"/>
      </w:pPr>
      <w:r>
        <w:rPr>
          <w:rFonts w:ascii="Arial" w:cs="Arial" w:eastAsia="Arial" w:hAnsi="Arial"/>
          <w:b w:val="false"/>
          <w:bCs w:val="false"/>
          <w:i w:val="false"/>
          <w:iCs w:val="false"/>
          <w:sz w:val="22"/>
          <w:szCs w:val="22"/>
        </w:rPr>
        <w:t xml:space="preserve">The twelve properties are not all equally load-bearing on every instrument. The plan recognises three tiers:</w:t>
      </w:r>
    </w:p>
    <w:p>
      <w:pPr>
        <w:pStyle w:val="ListParagraph"/>
        <w:numPr>
          <w:ilvl w:val="0"/>
          <w:numId w:val="2"/>
        </w:numPr>
        <w:spacing w:after="80" w:line="300"/>
      </w:pPr>
      <w:r>
        <w:rPr>
          <w:rFonts w:ascii="Arial" w:cs="Arial" w:eastAsia="Arial" w:hAnsi="Arial"/>
          <w:b/>
          <w:bCs/>
          <w:sz w:val="22"/>
          <w:szCs w:val="22"/>
        </w:rPr>
        <w:t xml:space="preserve">Defining properties</w:t>
      </w:r>
      <w:r>
        <w:rPr>
          <w:rFonts w:ascii="Arial" w:cs="Arial" w:eastAsia="Arial" w:hAnsi="Arial"/>
          <w:sz w:val="22"/>
          <w:szCs w:val="22"/>
        </w:rPr>
        <w:t xml:space="preserve"> — every instrument carries these: knowledge base, multi-agent workflow, deterministic calculators, rendering contract, cross-cutting references, validator, supporting code infrastructure, deployment posture. Absent any of these, the artefact is a skill, not an instrument.</w:t>
      </w:r>
    </w:p>
    <w:p>
      <w:pPr>
        <w:pStyle w:val="ListParagraph"/>
        <w:numPr>
          <w:ilvl w:val="0"/>
          <w:numId w:val="2"/>
        </w:numPr>
        <w:spacing w:after="80" w:line="300"/>
      </w:pPr>
      <w:r>
        <w:rPr>
          <w:rFonts w:ascii="Arial" w:cs="Arial" w:eastAsia="Arial" w:hAnsi="Arial"/>
          <w:b/>
          <w:bCs/>
          <w:sz w:val="22"/>
          <w:szCs w:val="22"/>
        </w:rPr>
        <w:t xml:space="preserve">Domain-triggered properties</w:t>
      </w:r>
      <w:r>
        <w:rPr>
          <w:rFonts w:ascii="Arial" w:cs="Arial" w:eastAsia="Arial" w:hAnsi="Arial"/>
          <w:sz w:val="22"/>
          <w:szCs w:val="22"/>
        </w:rPr>
        <w:t xml:space="preserve"> — appear when the domain demands them: risk gate for regulated or cultural domains, generative-modality integration for creative domains, external-data connectors for operations-integrated domains, web search for evidence-driven domains.</w:t>
      </w:r>
    </w:p>
    <w:p>
      <w:pPr>
        <w:pStyle w:val="ListParagraph"/>
        <w:numPr>
          <w:ilvl w:val="0"/>
          <w:numId w:val="2"/>
        </w:numPr>
        <w:spacing w:after="80" w:line="300"/>
      </w:pPr>
      <w:r>
        <w:rPr>
          <w:rFonts w:ascii="Arial" w:cs="Arial" w:eastAsia="Arial" w:hAnsi="Arial"/>
          <w:b/>
          <w:bCs/>
          <w:sz w:val="22"/>
          <w:szCs w:val="22"/>
        </w:rPr>
        <w:t xml:space="preserve">Scale-triggered properties</w:t>
      </w:r>
      <w:r>
        <w:rPr>
          <w:rFonts w:ascii="Arial" w:cs="Arial" w:eastAsia="Arial" w:hAnsi="Arial"/>
          <w:sz w:val="22"/>
          <w:szCs w:val="22"/>
        </w:rPr>
        <w:t xml:space="preserve"> — appear when the instrument graduates: remote MCP backend, server-side sub-agent pool, tenanted identity. These properties are the bridge from Pillar 1 to Pillar 2.</w:t>
      </w:r>
    </w:p>
    <w:p>
      <w:pPr>
        <w:pStyle w:val="Heading3"/>
        <w:spacing w:after="120" w:before="220"/>
      </w:pPr>
      <w:r>
        <w:rPr>
          <w:rFonts w:ascii="Arial" w:cs="Arial" w:eastAsia="Arial" w:hAnsi="Arial"/>
          <w:b/>
          <w:bCs/>
          <w:sz w:val="24"/>
          <w:szCs w:val="24"/>
        </w:rPr>
        <w:t xml:space="preserve">The tier language for clients</w:t>
      </w:r>
    </w:p>
    <w:p>
      <w:pPr>
        <w:spacing w:after="120" w:line="300"/>
        <w:jc w:val="left"/>
      </w:pPr>
      <w:r>
        <w:rPr>
          <w:rFonts w:ascii="Arial" w:cs="Arial" w:eastAsia="Arial" w:hAnsi="Arial"/>
          <w:b w:val="false"/>
          <w:bCs w:val="false"/>
          <w:i w:val="false"/>
          <w:iCs w:val="false"/>
          <w:sz w:val="22"/>
          <w:szCs w:val="22"/>
        </w:rPr>
        <w:t xml:space="preserve">Not every skill the venture deploys will be a full instrument, and the plan explicitly accepts this. Client engagements sort into three tiers:</w:t>
      </w:r>
    </w:p>
    <w:p>
      <w:pPr>
        <w:pStyle w:val="ListParagraph"/>
        <w:numPr>
          <w:ilvl w:val="0"/>
          <w:numId w:val="2"/>
        </w:numPr>
        <w:spacing w:after="80" w:line="300"/>
      </w:pPr>
      <w:r>
        <w:rPr>
          <w:rFonts w:ascii="Arial" w:cs="Arial" w:eastAsia="Arial" w:hAnsi="Arial"/>
          <w:b/>
          <w:bCs/>
          <w:sz w:val="22"/>
          <w:szCs w:val="22"/>
        </w:rPr>
        <w:t xml:space="preserve">Thin skills</w:t>
      </w:r>
      <w:r>
        <w:rPr>
          <w:rFonts w:ascii="Arial" w:cs="Arial" w:eastAsia="Arial" w:hAnsi="Arial"/>
          <w:sz w:val="22"/>
          <w:szCs w:val="22"/>
        </w:rPr>
        <w:t xml:space="preserve"> — template-grade Claude plugins. Meeting summaries, draft emails, weekly status rollups, routine document flows. These diffuse into client self-build over twelve to twenty-four months. Feasibility is high but IP is low; technically, a client with Claude Max and a capable engineer can build them.</w:t>
      </w:r>
    </w:p>
    <w:p>
      <w:pPr>
        <w:pStyle w:val="ListParagraph"/>
        <w:numPr>
          <w:ilvl w:val="0"/>
          <w:numId w:val="2"/>
        </w:numPr>
        <w:spacing w:after="80" w:line="300"/>
      </w:pPr>
      <w:r>
        <w:rPr>
          <w:rFonts w:ascii="Arial" w:cs="Arial" w:eastAsia="Arial" w:hAnsi="Arial"/>
          <w:b/>
          <w:bCs/>
          <w:sz w:val="22"/>
          <w:szCs w:val="22"/>
        </w:rPr>
        <w:t xml:space="preserve">Instruments</w:t>
      </w:r>
      <w:r>
        <w:rPr>
          <w:rFonts w:ascii="Arial" w:cs="Arial" w:eastAsia="Arial" w:hAnsi="Arial"/>
          <w:sz w:val="22"/>
          <w:szCs w:val="22"/>
        </w:rPr>
        <w:t xml:space="preserve"> — Mindgap-grade plugins. Marketing intelligence, legal analysis, quality surveying, compliance review, localised finance operations. These do not diffuse, because the curated KB, the calculator discipline, the sub-agent design, the rendering contract, and the deployment posture require research-engineering labour the client does not have. This is the class of work the venture is structurally equipped to produce.</w:t>
      </w:r>
    </w:p>
    <w:p>
      <w:pPr>
        <w:pStyle w:val="ListParagraph"/>
        <w:numPr>
          <w:ilvl w:val="0"/>
          <w:numId w:val="2"/>
        </w:numPr>
        <w:spacing w:after="80" w:line="300"/>
      </w:pPr>
      <w:r>
        <w:rPr>
          <w:rFonts w:ascii="Arial" w:cs="Arial" w:eastAsia="Arial" w:hAnsi="Arial"/>
          <w:b/>
          <w:bCs/>
          <w:sz w:val="22"/>
          <w:szCs w:val="22"/>
        </w:rPr>
        <w:t xml:space="preserve">Backend-bound systems</w:t>
      </w:r>
      <w:r>
        <w:rPr>
          <w:rFonts w:ascii="Arial" w:cs="Arial" w:eastAsia="Arial" w:hAnsi="Arial"/>
          <w:sz w:val="22"/>
          <w:szCs w:val="22"/>
        </w:rPr>
        <w:t xml:space="preserve"> — ATP-grade engagements. Cross-domain governance, regulated-market infrastructure, physical-world integrations with IoT, security-sensitive transactional workflows. These are Pillar 2.</w:t>
      </w:r>
    </w:p>
    <w:p>
      <w:pPr>
        <w:pStyle w:val="Heading3"/>
        <w:spacing w:after="120" w:before="220"/>
      </w:pPr>
      <w:r>
        <w:rPr>
          <w:rFonts w:ascii="Arial" w:cs="Arial" w:eastAsia="Arial" w:hAnsi="Arial"/>
          <w:b/>
          <w:bCs/>
          <w:sz w:val="24"/>
          <w:szCs w:val="24"/>
        </w:rPr>
        <w:t xml:space="preserve">Deliverables per Pillar-1 engagement</w:t>
      </w:r>
    </w:p>
    <w:p>
      <w:pPr>
        <w:spacing w:after="120" w:line="300"/>
        <w:jc w:val="left"/>
      </w:pPr>
      <w:r>
        <w:rPr>
          <w:rFonts w:ascii="Arial" w:cs="Arial" w:eastAsia="Arial" w:hAnsi="Arial"/>
          <w:b w:val="false"/>
          <w:bCs w:val="false"/>
          <w:i w:val="false"/>
          <w:iCs w:val="false"/>
          <w:sz w:val="22"/>
          <w:szCs w:val="22"/>
        </w:rPr>
        <w:t xml:space="preserve">For each engagement, the venture produces:</w:t>
      </w:r>
    </w:p>
    <w:p>
      <w:pPr>
        <w:pStyle w:val="ListParagraph"/>
        <w:numPr>
          <w:ilvl w:val="0"/>
          <w:numId w:val="2"/>
        </w:numPr>
        <w:spacing w:after="80" w:line="300"/>
      </w:pPr>
      <w:r>
        <w:rPr>
          <w:rFonts w:ascii="Arial" w:cs="Arial" w:eastAsia="Arial" w:hAnsi="Arial"/>
          <w:sz w:val="22"/>
          <w:szCs w:val="22"/>
        </w:rPr>
        <w:t xml:space="preserve">Instrument selection and customisation — choosing from the catalogue and adapting to the client's specific operational surface.</w:t>
      </w:r>
    </w:p>
    <w:p>
      <w:pPr>
        <w:pStyle w:val="ListParagraph"/>
        <w:numPr>
          <w:ilvl w:val="0"/>
          <w:numId w:val="2"/>
        </w:numPr>
        <w:spacing w:after="80" w:line="300"/>
      </w:pPr>
      <w:r>
        <w:rPr>
          <w:rFonts w:ascii="Arial" w:cs="Arial" w:eastAsia="Arial" w:hAnsi="Arial"/>
          <w:sz w:val="22"/>
          <w:szCs w:val="22"/>
        </w:rPr>
        <w:t xml:space="preserve">Localisation — Vietnamese language, Vietnamese operational context, Vietnamese legal and cultural grounding where relevant.</w:t>
      </w:r>
    </w:p>
    <w:p>
      <w:pPr>
        <w:pStyle w:val="ListParagraph"/>
        <w:numPr>
          <w:ilvl w:val="0"/>
          <w:numId w:val="2"/>
        </w:numPr>
        <w:spacing w:after="80" w:line="300"/>
      </w:pPr>
      <w:r>
        <w:rPr>
          <w:rFonts w:ascii="Arial" w:cs="Arial" w:eastAsia="Arial" w:hAnsi="Arial"/>
          <w:sz w:val="22"/>
          <w:szCs w:val="22"/>
        </w:rPr>
        <w:t xml:space="preserve">Custom connector engineering — for client-specific systems not covered by the commodity connector ecosystem.</w:t>
      </w:r>
    </w:p>
    <w:p>
      <w:pPr>
        <w:pStyle w:val="ListParagraph"/>
        <w:numPr>
          <w:ilvl w:val="0"/>
          <w:numId w:val="2"/>
        </w:numPr>
        <w:spacing w:after="80" w:line="300"/>
      </w:pPr>
      <w:r>
        <w:rPr>
          <w:rFonts w:ascii="Arial" w:cs="Arial" w:eastAsia="Arial" w:hAnsi="Arial"/>
          <w:sz w:val="22"/>
          <w:szCs w:val="22"/>
        </w:rPr>
        <w:t xml:space="preserve">Deployment — into the client's Claude environment, with tenanted posture, security review, and data-flow policy documented.</w:t>
      </w:r>
    </w:p>
    <w:p>
      <w:pPr>
        <w:pStyle w:val="ListParagraph"/>
        <w:numPr>
          <w:ilvl w:val="0"/>
          <w:numId w:val="2"/>
        </w:numPr>
        <w:spacing w:after="80" w:line="300"/>
      </w:pPr>
      <w:r>
        <w:rPr>
          <w:rFonts w:ascii="Arial" w:cs="Arial" w:eastAsia="Arial" w:hAnsi="Arial"/>
          <w:sz w:val="22"/>
          <w:szCs w:val="22"/>
        </w:rPr>
        <w:t xml:space="preserve">Training — of the client's operators, at the instrument-use level and at the light-customisation level.</w:t>
      </w:r>
    </w:p>
    <w:p>
      <w:pPr>
        <w:pStyle w:val="ListParagraph"/>
        <w:numPr>
          <w:ilvl w:val="0"/>
          <w:numId w:val="2"/>
        </w:numPr>
        <w:spacing w:after="80" w:line="300"/>
      </w:pPr>
      <w:r>
        <w:rPr>
          <w:rFonts w:ascii="Arial" w:cs="Arial" w:eastAsia="Arial" w:hAnsi="Arial"/>
          <w:sz w:val="22"/>
          <w:szCs w:val="22"/>
        </w:rPr>
        <w:t xml:space="preserve">Maintenance — KB version updates, validator-enforced drift prevention, connector maintenance as client systems change, and instrument improvements on a release cadence.</w:t>
      </w:r>
    </w:p>
    <w:p>
      <w:pPr>
        <w:pStyle w:val="Heading2"/>
        <w:spacing w:after="140" w:before="280"/>
      </w:pPr>
      <w:r>
        <w:rPr>
          <w:rFonts w:ascii="Arial" w:cs="Arial" w:eastAsia="Arial" w:hAnsi="Arial"/>
          <w:b/>
          <w:bCs/>
          <w:sz w:val="28"/>
          <w:szCs w:val="28"/>
        </w:rPr>
        <w:t xml:space="preserve">3.2 Pillar 2 — Agentic Systems</w:t>
      </w:r>
    </w:p>
    <w:p>
      <w:pPr>
        <w:spacing w:after="120" w:line="300"/>
        <w:jc w:val="left"/>
      </w:pPr>
      <w:r>
        <w:rPr>
          <w:rFonts w:ascii="Arial" w:cs="Arial" w:eastAsia="Arial" w:hAnsi="Arial"/>
          <w:b w:val="false"/>
          <w:bCs w:val="false"/>
          <w:i w:val="false"/>
          <w:iCs w:val="false"/>
          <w:sz w:val="22"/>
          <w:szCs w:val="22"/>
        </w:rPr>
        <w:t xml:space="preserve">A Pillar-2 agentic system is an engagement whose backend complexity exceeds what a Pillar-1 instrument can cleanly carry. Both pillars share the IP-protection principle (sensitive IP on the venture backend, thin client-side skill interface — section 1) and the twelve structural properties (section 3.1); the difference is operational complexity. Pillar-2 backends are bespoke per engagement, with deeper state management, regulated-industry audit, cross-venture composition with cybersecurity and IoT, and frequently physical-world integration. ATP — BigSmall's governance-analysis backend for Vietnam crypto exchanges — is the class's first reference instance in the partnership context: a remote MCP server with server-side agents, curated evidence stores, OAuth-tenanted identity, and a multi-stage pipeline (gather_context → gather_evidence → web search enrichment → evaluate_legal → evaluate_[design/attack/spec] → simulate → render) that returns a deterministic report to a thin Claude-side skill interface. ATP remains BigSmall's work; the venture's own Pillar-2 systems are new builds specialised from the same reference architecture.</w:t>
      </w:r>
    </w:p>
    <w:p>
      <w:pPr>
        <w:pStyle w:val="Heading3"/>
        <w:spacing w:after="120" w:before="220"/>
      </w:pPr>
      <w:r>
        <w:rPr>
          <w:rFonts w:ascii="Arial" w:cs="Arial" w:eastAsia="Arial" w:hAnsi="Arial"/>
          <w:b/>
          <w:bCs/>
          <w:sz w:val="24"/>
          <w:szCs w:val="24"/>
        </w:rPr>
        <w:t xml:space="preserve">When a problem is Pillar 2 rather than Pillar 1</w:t>
      </w:r>
    </w:p>
    <w:p>
      <w:pPr>
        <w:spacing w:after="120" w:line="300"/>
        <w:jc w:val="left"/>
      </w:pPr>
      <w:r>
        <w:rPr>
          <w:rFonts w:ascii="Arial" w:cs="Arial" w:eastAsia="Arial" w:hAnsi="Arial"/>
          <w:b w:val="false"/>
          <w:bCs w:val="false"/>
          <w:i w:val="false"/>
          <w:iCs w:val="false"/>
          <w:sz w:val="22"/>
          <w:szCs w:val="22"/>
        </w:rPr>
        <w:t xml:space="preserve">Both pillars run a venture backend. The venture triages an incoming engagement to Pillar 2 when the backend's operational complexity rises past what a standard Pillar-1 backend cleanly carries. Triggering conditions include:</w:t>
      </w:r>
    </w:p>
    <w:p>
      <w:pPr>
        <w:pStyle w:val="ListParagraph"/>
        <w:numPr>
          <w:ilvl w:val="0"/>
          <w:numId w:val="2"/>
        </w:numPr>
        <w:spacing w:after="80" w:line="300"/>
      </w:pPr>
      <w:r>
        <w:rPr>
          <w:rFonts w:ascii="Arial" w:cs="Arial" w:eastAsia="Arial" w:hAnsi="Arial"/>
          <w:sz w:val="22"/>
          <w:szCs w:val="22"/>
        </w:rPr>
        <w:t xml:space="preserve">The pipeline requires deeper agent orchestration than a Pillar-1 backend supports — agents needing persistent state across long horizons, multi-stage simulation, or specialised evidence-gathering pipelines.</w:t>
      </w:r>
    </w:p>
    <w:p>
      <w:pPr>
        <w:pStyle w:val="ListParagraph"/>
        <w:numPr>
          <w:ilvl w:val="0"/>
          <w:numId w:val="2"/>
        </w:numPr>
        <w:spacing w:after="80" w:line="300"/>
      </w:pPr>
      <w:r>
        <w:rPr>
          <w:rFonts w:ascii="Arial" w:cs="Arial" w:eastAsia="Arial" w:hAnsi="Arial"/>
          <w:sz w:val="22"/>
          <w:szCs w:val="22"/>
        </w:rPr>
        <w:t xml:space="preserve">The engagement requires regulated-industry audit posture (regulated finance, healthcare, public sector) — bespoke logging, evidence retention, and compliance documentation beyond the standard Pillar-1 audit profile.</w:t>
      </w:r>
    </w:p>
    <w:p>
      <w:pPr>
        <w:pStyle w:val="ListParagraph"/>
        <w:numPr>
          <w:ilvl w:val="0"/>
          <w:numId w:val="2"/>
        </w:numPr>
        <w:spacing w:after="80" w:line="300"/>
      </w:pPr>
      <w:r>
        <w:rPr>
          <w:rFonts w:ascii="Arial" w:cs="Arial" w:eastAsia="Arial" w:hAnsi="Arial"/>
          <w:sz w:val="22"/>
          <w:szCs w:val="22"/>
        </w:rPr>
        <w:t xml:space="preserve">The engagement composes across the Innovation Centre's cybersecurity and IoT companies, requiring coordinated authorisation, telemetry, and actuation through a shared backend designed for cross-venture composition.</w:t>
      </w:r>
    </w:p>
    <w:p>
      <w:pPr>
        <w:pStyle w:val="ListParagraph"/>
        <w:numPr>
          <w:ilvl w:val="0"/>
          <w:numId w:val="2"/>
        </w:numPr>
        <w:spacing w:after="80" w:line="300"/>
      </w:pPr>
      <w:r>
        <w:rPr>
          <w:rFonts w:ascii="Arial" w:cs="Arial" w:eastAsia="Arial" w:hAnsi="Arial"/>
          <w:sz w:val="22"/>
          <w:szCs w:val="22"/>
        </w:rPr>
        <w:t xml:space="preserve">The workload involves physical-world integration — sensors, actuators, edge gateways — routed through an IoT backend.</w:t>
      </w:r>
    </w:p>
    <w:p>
      <w:pPr>
        <w:pStyle w:val="ListParagraph"/>
        <w:numPr>
          <w:ilvl w:val="0"/>
          <w:numId w:val="2"/>
        </w:numPr>
        <w:spacing w:after="80" w:line="300"/>
      </w:pPr>
      <w:r>
        <w:rPr>
          <w:rFonts w:ascii="Arial" w:cs="Arial" w:eastAsia="Arial" w:hAnsi="Arial"/>
          <w:sz w:val="22"/>
          <w:szCs w:val="22"/>
        </w:rPr>
        <w:t xml:space="preserve">The engagement requires bespoke per-tenant infrastructure (dedicated hosting, isolation guarantees, custom identity arrangements) beyond the standard multi-tenant Pillar-1 backend.</w:t>
      </w:r>
    </w:p>
    <w:p>
      <w:pPr>
        <w:pStyle w:val="Heading3"/>
        <w:spacing w:after="120" w:before="220"/>
      </w:pPr>
      <w:r>
        <w:rPr>
          <w:rFonts w:ascii="Arial" w:cs="Arial" w:eastAsia="Arial" w:hAnsi="Arial"/>
          <w:b/>
          <w:bCs/>
          <w:sz w:val="24"/>
          <w:szCs w:val="24"/>
        </w:rPr>
        <w:t xml:space="preserve">Reference architecture</w:t>
      </w:r>
    </w:p>
    <w:p>
      <w:pPr>
        <w:spacing w:after="120" w:line="300"/>
        <w:jc w:val="left"/>
      </w:pPr>
      <w:r>
        <w:rPr>
          <w:rFonts w:ascii="Arial" w:cs="Arial" w:eastAsia="Arial" w:hAnsi="Arial"/>
          <w:b w:val="false"/>
          <w:bCs w:val="false"/>
          <w:i w:val="false"/>
          <w:iCs w:val="false"/>
          <w:sz w:val="22"/>
          <w:szCs w:val="22"/>
        </w:rPr>
        <w:t xml:space="preserve">The venture maintains a reference architecture for Pillar-2 engagements rather than a planned product list. The architecture specifies:</w:t>
      </w:r>
    </w:p>
    <w:p>
      <w:pPr>
        <w:pStyle w:val="ListParagraph"/>
        <w:numPr>
          <w:ilvl w:val="0"/>
          <w:numId w:val="2"/>
        </w:numPr>
        <w:spacing w:after="80" w:line="300"/>
      </w:pPr>
      <w:r>
        <w:rPr>
          <w:rFonts w:ascii="Arial" w:cs="Arial" w:eastAsia="Arial" w:hAnsi="Arial"/>
          <w:sz w:val="22"/>
          <w:szCs w:val="22"/>
        </w:rPr>
        <w:t xml:space="preserve">Client surface: a thin Claude-side skill or plugin that is the user's entry point. The skill defers to the backend for heavy lifting and renders the backend's deterministic output using the Pillar-1 rendering contract.</w:t>
      </w:r>
    </w:p>
    <w:p>
      <w:pPr>
        <w:pStyle w:val="ListParagraph"/>
        <w:numPr>
          <w:ilvl w:val="0"/>
          <w:numId w:val="2"/>
        </w:numPr>
        <w:spacing w:after="80" w:line="300"/>
      </w:pPr>
      <w:r>
        <w:rPr>
          <w:rFonts w:ascii="Arial" w:cs="Arial" w:eastAsia="Arial" w:hAnsi="Arial"/>
          <w:sz w:val="22"/>
          <w:szCs w:val="22"/>
        </w:rPr>
        <w:t xml:space="preserve">Authentication: OAuth 2.1 between Claude-side and backend, with tenant identity preserved end-to-end.</w:t>
      </w:r>
    </w:p>
    <w:p>
      <w:pPr>
        <w:pStyle w:val="ListParagraph"/>
        <w:numPr>
          <w:ilvl w:val="0"/>
          <w:numId w:val="2"/>
        </w:numPr>
        <w:spacing w:after="80" w:line="300"/>
      </w:pPr>
      <w:r>
        <w:rPr>
          <w:rFonts w:ascii="Arial" w:cs="Arial" w:eastAsia="Arial" w:hAnsi="Arial"/>
          <w:sz w:val="22"/>
          <w:szCs w:val="22"/>
        </w:rPr>
        <w:t xml:space="preserve">Agent orchestration: server-side multi-agent pipeline with typed stages (context gathering, evidence gathering, domain evaluation, simulation, rendering) and structured blobs passed between stages.</w:t>
      </w:r>
    </w:p>
    <w:p>
      <w:pPr>
        <w:pStyle w:val="ListParagraph"/>
        <w:numPr>
          <w:ilvl w:val="0"/>
          <w:numId w:val="2"/>
        </w:numPr>
        <w:spacing w:after="80" w:line="300"/>
      </w:pPr>
      <w:r>
        <w:rPr>
          <w:rFonts w:ascii="Arial" w:cs="Arial" w:eastAsia="Arial" w:hAnsi="Arial"/>
          <w:sz w:val="22"/>
          <w:szCs w:val="22"/>
        </w:rPr>
        <w:t xml:space="preserve">Curated evidence stores: server-side corpora with review cadence, versioning, and per-tenant access policy.</w:t>
      </w:r>
    </w:p>
    <w:p>
      <w:pPr>
        <w:pStyle w:val="ListParagraph"/>
        <w:numPr>
          <w:ilvl w:val="0"/>
          <w:numId w:val="2"/>
        </w:numPr>
        <w:spacing w:after="80" w:line="300"/>
      </w:pPr>
      <w:r>
        <w:rPr>
          <w:rFonts w:ascii="Arial" w:cs="Arial" w:eastAsia="Arial" w:hAnsi="Arial"/>
          <w:sz w:val="22"/>
          <w:szCs w:val="22"/>
        </w:rPr>
        <w:t xml:space="preserve">Audit and logging: every backend call logged with tenant, stage, input fingerprint, and output hash, available to the client on demand.</w:t>
      </w:r>
    </w:p>
    <w:p>
      <w:pPr>
        <w:pStyle w:val="ListParagraph"/>
        <w:numPr>
          <w:ilvl w:val="0"/>
          <w:numId w:val="2"/>
        </w:numPr>
        <w:spacing w:after="80" w:line="300"/>
      </w:pPr>
      <w:r>
        <w:rPr>
          <w:rFonts w:ascii="Arial" w:cs="Arial" w:eastAsia="Arial" w:hAnsi="Arial"/>
          <w:sz w:val="22"/>
          <w:szCs w:val="22"/>
        </w:rPr>
        <w:t xml:space="preserve">Cross-venture composition hooks: typed interfaces into the cybersecurity company's identity and policy stack, and into the IoT company's edge and telemetry stack.</w:t>
      </w:r>
    </w:p>
    <w:p>
      <w:pPr>
        <w:pStyle w:val="Heading3"/>
        <w:spacing w:after="120" w:before="220"/>
      </w:pPr>
      <w:r>
        <w:rPr>
          <w:rFonts w:ascii="Arial" w:cs="Arial" w:eastAsia="Arial" w:hAnsi="Arial"/>
          <w:b/>
          <w:bCs/>
          <w:sz w:val="24"/>
          <w:szCs w:val="24"/>
        </w:rPr>
        <w:t xml:space="preserve">Deliverables per Pillar-2 engagement</w:t>
      </w:r>
    </w:p>
    <w:p>
      <w:pPr>
        <w:pStyle w:val="ListParagraph"/>
        <w:numPr>
          <w:ilvl w:val="0"/>
          <w:numId w:val="2"/>
        </w:numPr>
        <w:spacing w:after="80" w:line="300"/>
      </w:pPr>
      <w:r>
        <w:rPr>
          <w:rFonts w:ascii="Arial" w:cs="Arial" w:eastAsia="Arial" w:hAnsi="Arial"/>
          <w:sz w:val="22"/>
          <w:szCs w:val="22"/>
        </w:rPr>
        <w:t xml:space="preserve">System design and scope — mapping the client's problem to the reference architecture.</w:t>
      </w:r>
    </w:p>
    <w:p>
      <w:pPr>
        <w:pStyle w:val="ListParagraph"/>
        <w:numPr>
          <w:ilvl w:val="0"/>
          <w:numId w:val="2"/>
        </w:numPr>
        <w:spacing w:after="80" w:line="300"/>
      </w:pPr>
      <w:r>
        <w:rPr>
          <w:rFonts w:ascii="Arial" w:cs="Arial" w:eastAsia="Arial" w:hAnsi="Arial"/>
          <w:sz w:val="22"/>
          <w:szCs w:val="22"/>
        </w:rPr>
        <w:t xml:space="preserve">Build — the backend, the Claude-side surface, the curated corpus, the custom connectors, and the cross-venture composition.</w:t>
      </w:r>
    </w:p>
    <w:p>
      <w:pPr>
        <w:pStyle w:val="ListParagraph"/>
        <w:numPr>
          <w:ilvl w:val="0"/>
          <w:numId w:val="2"/>
        </w:numPr>
        <w:spacing w:after="80" w:line="300"/>
      </w:pPr>
      <w:r>
        <w:rPr>
          <w:rFonts w:ascii="Arial" w:cs="Arial" w:eastAsia="Arial" w:hAnsi="Arial"/>
          <w:sz w:val="22"/>
          <w:szCs w:val="22"/>
        </w:rPr>
        <w:t xml:space="preserve">Deployment — into the client's environment or the venture's hosted infrastructure, with the appropriate governance posture.</w:t>
      </w:r>
    </w:p>
    <w:p>
      <w:pPr>
        <w:pStyle w:val="ListParagraph"/>
        <w:numPr>
          <w:ilvl w:val="0"/>
          <w:numId w:val="2"/>
        </w:numPr>
        <w:spacing w:after="80" w:line="300"/>
      </w:pPr>
      <w:r>
        <w:rPr>
          <w:rFonts w:ascii="Arial" w:cs="Arial" w:eastAsia="Arial" w:hAnsi="Arial"/>
          <w:sz w:val="22"/>
          <w:szCs w:val="22"/>
        </w:rPr>
        <w:t xml:space="preserve">Training — of client operators and, where relevant, client administrators who manage tenants inside the system.</w:t>
      </w:r>
    </w:p>
    <w:p>
      <w:pPr>
        <w:pStyle w:val="ListParagraph"/>
        <w:numPr>
          <w:ilvl w:val="0"/>
          <w:numId w:val="2"/>
        </w:numPr>
        <w:spacing w:after="80" w:line="300"/>
      </w:pPr>
      <w:r>
        <w:rPr>
          <w:rFonts w:ascii="Arial" w:cs="Arial" w:eastAsia="Arial" w:hAnsi="Arial"/>
          <w:sz w:val="22"/>
          <w:szCs w:val="22"/>
        </w:rPr>
        <w:t xml:space="preserve">Maintenance and operation — KB refreshes, agent-prompt updates, model-version migrations, validator runs, infrastructure operations, and the credit-based metering described in the cost section.</w:t>
      </w:r>
    </w:p>
    <w:p>
      <w:pPr>
        <w:pStyle w:val="Heading3"/>
        <w:spacing w:after="120" w:before="220"/>
      </w:pPr>
      <w:r>
        <w:rPr>
          <w:rFonts w:ascii="Arial" w:cs="Arial" w:eastAsia="Arial" w:hAnsi="Arial"/>
          <w:b/>
          <w:bCs/>
          <w:sz w:val="24"/>
          <w:szCs w:val="24"/>
        </w:rPr>
        <w:t xml:space="preserve">Engagement pattern</w:t>
      </w:r>
    </w:p>
    <w:p>
      <w:pPr>
        <w:spacing w:after="120" w:line="300"/>
        <w:jc w:val="left"/>
      </w:pPr>
      <w:r>
        <w:rPr>
          <w:rFonts w:ascii="Arial" w:cs="Arial" w:eastAsia="Arial" w:hAnsi="Arial"/>
          <w:b w:val="false"/>
          <w:bCs w:val="false"/>
          <w:i w:val="false"/>
          <w:iCs w:val="false"/>
          <w:sz w:val="22"/>
          <w:szCs w:val="22"/>
        </w:rPr>
        <w:t xml:space="preserve">Pillar-2 engagements do not announce themselves on a roadmap. The pattern is: a client surfaces a cross-domain or backend-grade problem; the venture runs a short scoping engagement against the reference architecture (one to two weeks, during which the reference architecture is specialised into a draft system design); the client signs a build engagement against that specialisation; the build follows the reference architecture's templates and the connector library; operation transitions to a maintenance contract.</w:t>
      </w:r>
    </w:p>
    <w:p>
      <w:pPr>
        <w:spacing w:after="120" w:line="300"/>
        <w:jc w:val="left"/>
      </w:pPr>
      <w:r>
        <w:rPr>
          <w:rFonts w:ascii="Arial" w:cs="Arial" w:eastAsia="Arial" w:hAnsi="Arial"/>
          <w:b w:val="false"/>
          <w:bCs w:val="false"/>
          <w:i w:val="false"/>
          <w:iCs w:val="false"/>
          <w:sz w:val="22"/>
          <w:szCs w:val="22"/>
        </w:rPr>
        <w:t xml:space="preserve">The venture's commitment is not a catalogue of Pillar-2 products. It is speed to mobilise on a new Pillar-2 engagement — the reference architecture, the connector library, the backend component library, and the engagement pattern together constitute that mobilisation readiness.</w:t>
      </w:r>
    </w:p>
    <w:p>
      <w:pPr>
        <w:pStyle w:val="Heading2"/>
        <w:spacing w:after="140" w:before="280"/>
      </w:pPr>
      <w:r>
        <w:rPr>
          <w:rFonts w:ascii="Arial" w:cs="Arial" w:eastAsia="Arial" w:hAnsi="Arial"/>
          <w:b/>
          <w:bCs/>
          <w:sz w:val="28"/>
          <w:szCs w:val="28"/>
        </w:rPr>
        <w:t xml:space="preserve">3.3 Synergy with the cybersecurity and IoT companies</w:t>
      </w:r>
    </w:p>
    <w:p>
      <w:pPr>
        <w:spacing w:after="120" w:line="300"/>
        <w:jc w:val="left"/>
      </w:pPr>
      <w:r>
        <w:rPr>
          <w:rFonts w:ascii="Arial" w:cs="Arial" w:eastAsia="Arial" w:hAnsi="Arial"/>
          <w:b w:val="false"/>
          <w:bCs w:val="false"/>
          <w:i w:val="false"/>
          <w:iCs w:val="false"/>
          <w:sz w:val="22"/>
          <w:szCs w:val="22"/>
        </w:rPr>
        <w:t xml:space="preserve">The three Innovation Centre companies compose at two surfaces.</w:t>
      </w:r>
    </w:p>
    <w:p>
      <w:pPr>
        <w:pStyle w:val="Heading3"/>
        <w:spacing w:after="120" w:before="220"/>
      </w:pPr>
      <w:r>
        <w:rPr>
          <w:rFonts w:ascii="Arial" w:cs="Arial" w:eastAsia="Arial" w:hAnsi="Arial"/>
          <w:b/>
          <w:bCs/>
          <w:sz w:val="24"/>
          <w:szCs w:val="24"/>
        </w:rPr>
        <w:t xml:space="preserve">Client-side trust surface (Pillar 1)</w:t>
      </w:r>
    </w:p>
    <w:p>
      <w:pPr>
        <w:spacing w:after="120" w:line="300"/>
        <w:jc w:val="left"/>
      </w:pPr>
      <w:r>
        <w:rPr>
          <w:rFonts w:ascii="Arial" w:cs="Arial" w:eastAsia="Arial" w:hAnsi="Arial"/>
          <w:b w:val="false"/>
          <w:bCs w:val="false"/>
          <w:i w:val="false"/>
          <w:iCs w:val="false"/>
          <w:sz w:val="22"/>
          <w:szCs w:val="22"/>
        </w:rPr>
        <w:t xml:space="preserve">Properties 9 (deployment posture) and 10b (custom connectors) are where the cybersecurity company contributes to Pillar 1 engagements. Credential vaulting for client SQL and ERP access, service-account provisioning, network-level access policy, audit logging on connector reads, and data-flow documentation are cybersec's native domain. A Vietnamese bank, a regulated insurer, or a provincial department of finance will not permit a Claude-side instrument to touch their data without this stack; the venture's instruments clear this bar because the cybersec company is a structural input, not a sales cross-sell.</w:t>
      </w:r>
    </w:p>
    <w:p>
      <w:pPr>
        <w:spacing w:after="120" w:line="300"/>
        <w:jc w:val="left"/>
      </w:pPr>
      <w:r>
        <w:rPr>
          <w:rFonts w:ascii="Arial" w:cs="Arial" w:eastAsia="Arial" w:hAnsi="Arial"/>
          <w:b w:val="false"/>
          <w:bCs w:val="false"/>
          <w:i w:val="false"/>
          <w:iCs w:val="false"/>
          <w:sz w:val="22"/>
          <w:szCs w:val="22"/>
        </w:rPr>
        <w:t xml:space="preserve">The IoT company contributes when an instrument needs to observe or act on physical state — a warehouse QS instrument that reads sensor data, a facility-management instrument that triggers actuators, a field-operations instrument that pulls telemetry. In Pillar 1, this integration is typically a read-only connector through an IoT-company edge gateway, which keeps the physical-world surface outside the Claude working folder.</w:t>
      </w:r>
    </w:p>
    <w:p>
      <w:pPr>
        <w:pStyle w:val="Heading3"/>
        <w:spacing w:after="120" w:before="220"/>
      </w:pPr>
      <w:r>
        <w:rPr>
          <w:rFonts w:ascii="Arial" w:cs="Arial" w:eastAsia="Arial" w:hAnsi="Arial"/>
          <w:b/>
          <w:bCs/>
          <w:sz w:val="24"/>
          <w:szCs w:val="24"/>
        </w:rPr>
        <w:t xml:space="preserve">Server-side composition surface (Pillar 2)</w:t>
      </w:r>
    </w:p>
    <w:p>
      <w:pPr>
        <w:spacing w:after="120" w:line="300"/>
        <w:jc w:val="left"/>
      </w:pPr>
      <w:r>
        <w:rPr>
          <w:rFonts w:ascii="Arial" w:cs="Arial" w:eastAsia="Arial" w:hAnsi="Arial"/>
          <w:b w:val="false"/>
          <w:bCs w:val="false"/>
          <w:i w:val="false"/>
          <w:iCs w:val="false"/>
          <w:sz w:val="22"/>
          <w:szCs w:val="22"/>
        </w:rPr>
        <w:t xml:space="preserve">In Pillar 2, composition becomes peer-to-peer. A cross-venture engagement places cybersec controls, IoT telemetry, and AI reasoning as first-class components in a shared backend. ATP is already an instance of this pattern applied to governance analysis (legal controls + security controls + agent reasoning); the same scaffolding generalises to supply-chain integrity, facility monitoring, fraud detection, and regulated-transactional infrastructure. The cross-venture engagement is the natural high-value zone for the AI venture inside the Innovation Centre; it is also the zone that most directly justifies the three-company structure to external audiences.</w:t>
      </w:r>
    </w:p>
    <w:p>
      <w:pPr>
        <w:pStyle w:val="Heading1"/>
        <w:spacing w:after="180" w:before="360"/>
      </w:pPr>
      <w:r>
        <w:rPr>
          <w:rFonts w:ascii="Arial" w:cs="Arial" w:eastAsia="Arial" w:hAnsi="Arial"/>
          <w:b/>
          <w:bCs/>
          <w:sz w:val="32"/>
          <w:szCs w:val="32"/>
        </w:rPr>
        <w:t xml:space="preserve">4. Technical differentiation</w:t>
      </w:r>
    </w:p>
    <w:p>
      <w:pPr>
        <w:spacing w:after="120" w:line="300"/>
        <w:jc w:val="left"/>
      </w:pPr>
      <w:r>
        <w:rPr>
          <w:rFonts w:ascii="Arial" w:cs="Arial" w:eastAsia="Arial" w:hAnsi="Arial"/>
          <w:b w:val="false"/>
          <w:bCs w:val="false"/>
          <w:i w:val="false"/>
          <w:iCs w:val="false"/>
          <w:sz w:val="22"/>
          <w:szCs w:val="22"/>
        </w:rPr>
        <w:t xml:space="preserve">This section addresses an AI-feasibility question, not a market-positioning question. Given that Claude Max at $100/month can call custom skills, and given that freelance developers and generic systems integrators can produce skill-level work, the question is: at each of the three tiers, what is technically achievable by (a) client self-build with Claude Max, (b) a freelancer or generic integrator, and (c) the venture as described in section 3, and where do those paths diverge technically? The tables below compare outputs, not prices.</w:t>
      </w:r>
    </w:p>
    <w:p>
      <w:pPr>
        <w:pStyle w:val="Heading2"/>
        <w:spacing w:after="140" w:before="280"/>
      </w:pPr>
      <w:r>
        <w:rPr>
          <w:rFonts w:ascii="Arial" w:cs="Arial" w:eastAsia="Arial" w:hAnsi="Arial"/>
          <w:b/>
          <w:bCs/>
          <w:sz w:val="28"/>
          <w:szCs w:val="28"/>
        </w:rPr>
        <w:t xml:space="preserve">4.1 Thin-skill tier — technical parity</w:t>
      </w:r>
    </w:p>
    <w:p>
      <w:pPr>
        <w:spacing w:after="120" w:line="300"/>
        <w:jc w:val="left"/>
      </w:pPr>
      <w:r>
        <w:rPr>
          <w:rFonts w:ascii="Arial" w:cs="Arial" w:eastAsia="Arial" w:hAnsi="Arial"/>
          <w:b w:val="false"/>
          <w:bCs w:val="false"/>
          <w:i w:val="false"/>
          <w:iCs w:val="false"/>
          <w:sz w:val="22"/>
          <w:szCs w:val="22"/>
        </w:rPr>
        <w:t xml:space="preserve">At this tier, client self-build with Claude Max and template plugins is technically sufficient for most thin-skill use cases within 12-24 months. The venture has no durable technical advantage at this tier, which is consistent with the tier language in section 3.1.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Dimension</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Client self-build</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Anthropic template marketplace</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Venture offering</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Time to first use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Days to weeks (skill-level)</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Hours (install only)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Days — includes localisation + training</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Vietnamese localisation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Client does it themselves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None; English-first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Native; VN-first defaults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Accountability for output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Internal team</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None (template only)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Venture on the hook</w:t>
            </w:r>
          </w:p>
        </w:tc>
      </w:tr>
      <w:tr>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bCs/>
                <w:sz w:val="20"/>
                <w:szCs w:val="20"/>
              </w:rPr>
              <w:t xml:space="preserve">Technical advantage margin for the venture</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Narrows over time</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Minimal</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Small — essentially quality + localisation</w:t>
            </w:r>
          </w:p>
        </w:tc>
      </w:tr>
    </w:tbl>
    <w:p>
      <w:pPr>
        <w:spacing w:after="120" w:line="300"/>
        <w:jc w:val="left"/>
      </w:pPr>
      <w:r>
        <w:rPr>
          <w:rFonts w:ascii="Arial" w:cs="Arial" w:eastAsia="Arial" w:hAnsi="Arial"/>
          <w:b w:val="false"/>
          <w:bCs w:val="false"/>
          <w:i w:val="false"/>
          <w:iCs w:val="false"/>
          <w:sz w:val="22"/>
          <w:szCs w:val="22"/>
        </w:rPr>
        <w:t xml:space="preserve"/>
      </w:r>
    </w:p>
    <w:p>
      <w:pPr>
        <w:pStyle w:val="Heading2"/>
        <w:spacing w:after="140" w:before="280"/>
      </w:pPr>
      <w:r>
        <w:rPr>
          <w:rFonts w:ascii="Arial" w:cs="Arial" w:eastAsia="Arial" w:hAnsi="Arial"/>
          <w:b/>
          <w:bCs/>
          <w:sz w:val="28"/>
          <w:szCs w:val="28"/>
        </w:rPr>
        <w:t xml:space="preserve">4.2 Instrument tier — technical divergence</w:t>
      </w:r>
    </w:p>
    <w:p>
      <w:pPr>
        <w:spacing w:after="120" w:line="300"/>
        <w:jc w:val="left"/>
      </w:pPr>
      <w:r>
        <w:rPr>
          <w:rFonts w:ascii="Arial" w:cs="Arial" w:eastAsia="Arial" w:hAnsi="Arial"/>
          <w:b w:val="false"/>
          <w:bCs w:val="false"/>
          <w:i w:val="false"/>
          <w:iCs w:val="false"/>
          <w:sz w:val="22"/>
          <w:szCs w:val="22"/>
        </w:rPr>
        <w:t xml:space="preserve">An instrument is not a harder skill; it is a different class of artefact. The comparison below enumerates, property by property, what each path can technically produce at this tier. The venture's technical advantage is the compound of several properties that none of the alternative paths closes within a realistic engagement.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Property</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Client self-build (with Claude Max)</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Freelancer / generic integrator</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Venture instrument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Curated VN knowledge base (reviewed on cadence)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one-shot, stale within months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scoped to the contract, not maintained</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versioned, review cadence, validator-enforced</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Multi-agent workflow (specialist sub-agents, persona isolation)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Rare — default is single-prompt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Sometimes — not a discipline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Mindgap fans out 5 sub-agents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Deterministic calculators (math outside the LLM)</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scores drift run to run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Occasionally — ad hoc</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pure-Python, reproducible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Risk / gating flow (veto, preconditions, signed overrides)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Mindgap's R-score, floor rules, override chain</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Rendering contract (single-file, pinned viz, citation on every number)</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output quality varies per run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bespoke per deliverable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template-substitution contract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Custom connectors to VN ERPs, SQL, e-invoice, Zalo OA</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Per-client build, no reuse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Per-client build, no reuse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Compounding library across clients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Deployment posture (audit, identity, VN cybersec + privacy-law compliant)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Client sources cybersec separately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Often weak — not the integrator's specialty</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Structural — cybersec company is a built-in input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Maintenance over time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Internal team — often abandoned after the builder leaves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Ends at contract close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Release cadence with validator + KB refresh</w:t>
            </w:r>
          </w:p>
        </w:tc>
      </w:tr>
      <w:tr>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bCs/>
                <w:sz w:val="20"/>
                <w:szCs w:val="20"/>
              </w:rPr>
              <w:t xml:space="preserve">Technical durability over 24 months</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Drifts — KB stale, scores non-reproducible, builder attrition</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Frozen at handover — no review cadence after contract</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Maintained — KB refreshed, validator catches drift, connectors compound</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b w:val="false"/>
          <w:bCs w:val="false"/>
          <w:i w:val="false"/>
          <w:iCs w:val="false"/>
          <w:sz w:val="22"/>
          <w:szCs w:val="22"/>
        </w:rPr>
        <w:t xml:space="preserve">The bottom row is the technical-feasibility claim. Self-built and integrator-built skills produce a point-in-time artefact whose quality decays as the KB stales, scores become non-reproducible, and the original builder moves on. A venture instrument is maintained against its twelve-property discipline — the KB is refreshed on cadence, the validator catches drift at build time, the connectors compound across clients, and the cybersec/privacy posture is structural. That difference is technical, not commercial.</w:t>
      </w:r>
    </w:p>
    <w:p>
      <w:pPr>
        <w:spacing w:after="120" w:line="300"/>
        <w:jc w:val="left"/>
      </w:pPr>
      <w:r>
        <w:rPr>
          <w:rFonts w:ascii="Arial" w:cs="Arial" w:eastAsia="Arial" w:hAnsi="Arial"/>
          <w:b w:val="false"/>
          <w:bCs w:val="false"/>
          <w:i w:val="false"/>
          <w:iCs w:val="false"/>
          <w:sz w:val="22"/>
          <w:szCs w:val="22"/>
        </w:rPr>
        <w:t xml:space="preserve">There is also a structural IP-protection difference that follows from the principle in section 1: the venture's sensitive IP — curated KB, calculator logic, multi-agent design, rubrics, prompts, rendering templates — lives on the venture's remote MCP backend, not in the client environment. A client self-build has access only to the thin skill interface and to whatever the client builds themselves; it cannot reproduce the instrument's substance because the substance is not in the client environment to copy. A freelancer building a one-off skill for the client has the same constraint. The venture's technical advantage is therefore not just "better discipline" but "the IP that defines the instrument is structurally inaccessible to anyone outside the venture's backend."</w:t>
      </w:r>
    </w:p>
    <w:p>
      <w:pPr>
        <w:pStyle w:val="Heading2"/>
        <w:spacing w:after="140" w:before="280"/>
      </w:pPr>
      <w:r>
        <w:rPr>
          <w:rFonts w:ascii="Arial" w:cs="Arial" w:eastAsia="Arial" w:hAnsi="Arial"/>
          <w:b/>
          <w:bCs/>
          <w:sz w:val="28"/>
          <w:szCs w:val="28"/>
        </w:rPr>
        <w:t xml:space="preserve">4.3 Pillar-2 tier — feasibility set is specialist shops</w:t>
      </w:r>
    </w:p>
    <w:p>
      <w:pPr>
        <w:spacing w:after="120" w:line="300"/>
        <w:jc w:val="left"/>
      </w:pPr>
      <w:r>
        <w:rPr>
          <w:rFonts w:ascii="Arial" w:cs="Arial" w:eastAsia="Arial" w:hAnsi="Arial"/>
          <w:b w:val="false"/>
          <w:bCs w:val="false"/>
          <w:i w:val="false"/>
          <w:iCs w:val="false"/>
          <w:sz w:val="22"/>
          <w:szCs w:val="22"/>
        </w:rPr>
        <w:t xml:space="preserve">At this tier, client self-build is technically infeasible for realistic timelines — standing up an OAuth-tenanted MCP backend with multi-agent orchestration, curated corpora, audit logging, and cross-venture composition is months of focused engineering that is outside the operational capacity of a mid-market business or government unit. The alternative feasibility set is other specialist AI engineering shops and systems integrators.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Dimension</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Client self-build</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Generic systems integrator</w:t>
            </w:r>
          </w:p>
        </w:tc>
        <w:tc>
          <w:tcPr>
            <w:tcW w:type="dxa" w:w="234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spacing w:after="40" w:line="280"/>
            </w:pPr>
            <w:r>
              <w:rPr>
                <w:rFonts w:ascii="Arial" w:cs="Arial" w:eastAsia="Arial" w:hAnsi="Arial"/>
                <w:b/>
                <w:bCs/>
                <w:sz w:val="20"/>
                <w:szCs w:val="20"/>
              </w:rPr>
              <w:t xml:space="preserve">Venture (AI + cybersec + IoT)</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Reference architecture ready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Partial — AI-specific parts are weak</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ATP-validated pattern</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Multi-agent pipeline design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Rare as a core competence</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Core competence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Curated VN corpus at server side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 — not in their model</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Yes — BigSmall's research channel</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Cross-venture composition (cybersec + IoT)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Procure separately, integrate painfully</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Sub-contract, coordination overhead</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In-group; native composition</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Mobilisation time to scope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Months of internal deliberation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Weeks — discovery-heavy</w:t>
            </w:r>
          </w:p>
        </w:tc>
        <w:tc>
          <w:tcPr>
            <w:tcW w:type="dxa" w:w="2340"/>
            <w:tcBorders>
              <w:top w:val="single" w:color="BFBFBF" w:sz="4"/>
              <w:left w:val="single" w:color="BFBFBF" w:sz="4"/>
              <w:bottom w:val="single" w:color="BFBFBF" w:sz="4"/>
              <w:right w:val="single" w:color="BFBFBF" w:sz="4"/>
            </w:tcBorders>
            <w:shd w:fill="DDEEDD"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1-2 weeks — reference architecture specialises quickly</w:t>
            </w:r>
          </w:p>
        </w:tc>
      </w:tr>
      <w:tr>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bCs/>
                <w:sz w:val="20"/>
                <w:szCs w:val="20"/>
              </w:rPr>
              <w:t xml:space="preserve">Per-run compute cost observability</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Unknown until built</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Opaque — bundled into engagement fee</w:t>
            </w:r>
          </w:p>
        </w:tc>
        <w:tc>
          <w:tcPr>
            <w:tcW w:type="dxa" w:w="2340"/>
            <w:tcBorders>
              <w:top w:val="single" w:color="BFBFBF" w:sz="4"/>
              <w:left w:val="single" w:color="BFBFBF" w:sz="4"/>
              <w:bottom w:val="single" w:color="BFBFBF" w:sz="4"/>
              <w:right w:val="single" w:color="BFBFBF" w:sz="4"/>
            </w:tcBorders>
            <w:shd w:fill="FFF4CE" w:val="clear"/>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Observable per run — ATP-calibrated at ~$10/report baseline (~$30/deliverable with 3× iteration)</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b w:val="false"/>
          <w:bCs w:val="false"/>
          <w:i w:val="false"/>
          <w:iCs w:val="false"/>
          <w:sz w:val="22"/>
          <w:szCs w:val="22"/>
        </w:rPr>
        <w:t xml:space="preserve">The decisive technical feature at Pillar 2 is cross-venture composition. A system that composes AI reasoning + cybersecurity controls + IoT telemetry from a single engineering group avoids the coordination overhead that makes most cross-domain projects slow and fragile. This is a structural outcome of the Innovation Centre's three-company composition — the AI venture does not have to contract the cybersec and IoT surfaces as external dependencies; they are siblings.</w:t>
      </w:r>
    </w:p>
    <w:p>
      <w:pPr>
        <w:pStyle w:val="Heading1"/>
        <w:spacing w:after="180" w:before="360"/>
      </w:pPr>
      <w:r>
        <w:rPr>
          <w:rFonts w:ascii="Arial" w:cs="Arial" w:eastAsia="Arial" w:hAnsi="Arial"/>
          <w:b/>
          <w:bCs/>
          <w:sz w:val="32"/>
          <w:szCs w:val="32"/>
        </w:rPr>
        <w:t xml:space="preserve">5. Buildability and readiness</w:t>
      </w:r>
    </w:p>
    <w:p>
      <w:pPr>
        <w:spacing w:after="120" w:line="300"/>
        <w:jc w:val="left"/>
      </w:pPr>
      <w:r>
        <w:rPr>
          <w:rFonts w:ascii="Arial" w:cs="Arial" w:eastAsia="Arial" w:hAnsi="Arial"/>
          <w:b w:val="false"/>
          <w:bCs w:val="false"/>
          <w:i w:val="false"/>
          <w:iCs w:val="false"/>
          <w:sz w:val="22"/>
          <w:szCs w:val="22"/>
        </w:rPr>
        <w:t xml:space="preserve">This section describes what the venture can build and how quickly — an engineering-capacity question, not a product-strategy question. It operates at two layers: a catalogue-plus-readiness-window model for Pillar 1, and a reference-architecture-plus-mobilisation model for Pillar 2. Both layers operate under a single operating principle: always aim for fastest production deployment — treated as a design constraint on the engineering work, not a slogan.</w:t>
      </w:r>
    </w:p>
    <w:p>
      <w:pPr>
        <w:pStyle w:val="Heading2"/>
        <w:spacing w:after="140" w:before="280"/>
      </w:pPr>
      <w:r>
        <w:rPr>
          <w:rFonts w:ascii="Arial" w:cs="Arial" w:eastAsia="Arial" w:hAnsi="Arial"/>
          <w:b/>
          <w:bCs/>
          <w:sz w:val="28"/>
          <w:szCs w:val="28"/>
        </w:rPr>
        <w:t xml:space="preserve">5.1 Generation velocity versus deployment velocity</w:t>
      </w:r>
    </w:p>
    <w:p>
      <w:pPr>
        <w:spacing w:after="120" w:line="300"/>
        <w:jc w:val="left"/>
      </w:pPr>
      <w:r>
        <w:rPr>
          <w:rFonts w:ascii="Arial" w:cs="Arial" w:eastAsia="Arial" w:hAnsi="Arial"/>
          <w:b w:val="false"/>
          <w:bCs w:val="false"/>
          <w:i w:val="false"/>
          <w:iCs w:val="false"/>
          <w:sz w:val="22"/>
          <w:szCs w:val="22"/>
        </w:rPr>
        <w:t xml:space="preserve">Two different tempos matter, and the plan separates them to avoid the overpromise pattern that conflates them:</w:t>
      </w:r>
    </w:p>
    <w:p>
      <w:pPr>
        <w:pStyle w:val="ListParagraph"/>
        <w:numPr>
          <w:ilvl w:val="0"/>
          <w:numId w:val="2"/>
        </w:numPr>
        <w:spacing w:after="80" w:line="300"/>
      </w:pPr>
      <w:r>
        <w:rPr>
          <w:rFonts w:ascii="Arial" w:cs="Arial" w:eastAsia="Arial" w:hAnsi="Arial"/>
          <w:b/>
          <w:bCs/>
          <w:sz w:val="22"/>
          <w:szCs w:val="22"/>
        </w:rPr>
        <w:t xml:space="preserve">Instrument generation velocity</w:t>
      </w:r>
      <w:r>
        <w:rPr>
          <w:rFonts w:ascii="Arial" w:cs="Arial" w:eastAsia="Arial" w:hAnsi="Arial"/>
          <w:sz w:val="22"/>
          <w:szCs w:val="22"/>
        </w:rPr>
        <w:t xml:space="preserve"> — how fast the venture can ship a new Pillar-1 instrument from scoping to first production use. This is R&amp;D-limited. Mindgap is the empirical anchor: it exists today, having been built under the same team and discipline this venture operates under.</w:t>
      </w:r>
    </w:p>
    <w:p>
      <w:pPr>
        <w:pStyle w:val="ListParagraph"/>
        <w:numPr>
          <w:ilvl w:val="0"/>
          <w:numId w:val="2"/>
        </w:numPr>
        <w:spacing w:after="80" w:line="300"/>
      </w:pPr>
      <w:r>
        <w:rPr>
          <w:rFonts w:ascii="Arial" w:cs="Arial" w:eastAsia="Arial" w:hAnsi="Arial"/>
          <w:b/>
          <w:bCs/>
          <w:sz w:val="22"/>
          <w:szCs w:val="22"/>
        </w:rPr>
        <w:t xml:space="preserve">Instrument deployment velocity</w:t>
      </w:r>
      <w:r>
        <w:rPr>
          <w:rFonts w:ascii="Arial" w:cs="Arial" w:eastAsia="Arial" w:hAnsi="Arial"/>
          <w:sz w:val="22"/>
          <w:szCs w:val="22"/>
        </w:rPr>
        <w:t xml:space="preserve"> — how fast an already-shipped instrument can be landed in a new client environment, with their connectors, their data, their operators trained. This is ops-limited. The second deployment of any instrument is materially faster than the first, because the connector library and the deployment playbook compound.</w:t>
      </w:r>
    </w:p>
    <w:p>
      <w:pPr>
        <w:spacing w:after="120" w:line="300"/>
        <w:jc w:val="left"/>
      </w:pPr>
      <w:r>
        <w:rPr>
          <w:rFonts w:ascii="Arial" w:cs="Arial" w:eastAsia="Arial" w:hAnsi="Arial"/>
          <w:b w:val="false"/>
          <w:bCs w:val="false"/>
          <w:i w:val="false"/>
          <w:iCs w:val="false"/>
          <w:sz w:val="22"/>
          <w:szCs w:val="22"/>
        </w:rPr>
        <w:t xml:space="preserve">Stakeholders often merge these into a single "how fast can you deliver" question. The venture answers it with two numbers, not one, and communicates both to clients during scoping.</w:t>
      </w:r>
    </w:p>
    <w:p>
      <w:pPr>
        <w:pStyle w:val="Heading2"/>
        <w:spacing w:after="140" w:before="280"/>
      </w:pPr>
      <w:r>
        <w:rPr>
          <w:rFonts w:ascii="Arial" w:cs="Arial" w:eastAsia="Arial" w:hAnsi="Arial"/>
          <w:b/>
          <w:bCs/>
          <w:sz w:val="28"/>
          <w:szCs w:val="28"/>
        </w:rPr>
        <w:t xml:space="preserve">5.2 Pillar 1 — catalogue with readiness windows</w:t>
      </w:r>
    </w:p>
    <w:p>
      <w:pPr>
        <w:spacing w:after="120" w:line="300"/>
        <w:jc w:val="left"/>
      </w:pPr>
      <w:r>
        <w:rPr>
          <w:rFonts w:ascii="Arial" w:cs="Arial" w:eastAsia="Arial" w:hAnsi="Arial"/>
          <w:b w:val="false"/>
          <w:bCs w:val="false"/>
          <w:i w:val="false"/>
          <w:iCs w:val="false"/>
          <w:sz w:val="22"/>
          <w:szCs w:val="22"/>
        </w:rPr>
        <w:t xml:space="preserve">The catalogue is organised into three readiness zones. Named candidate instruments inside each zone are indicative of the venture's current technical posture, not a calendar commitment; a client engagement is what triggers a specific instrument's promotion from candidate to commitment.</w:t>
      </w:r>
    </w:p>
    <w:p>
      <w:pPr>
        <w:pStyle w:val="Heading3"/>
        <w:spacing w:after="120" w:before="220"/>
      </w:pPr>
      <w:r>
        <w:rPr>
          <w:rFonts w:ascii="Arial" w:cs="Arial" w:eastAsia="Arial" w:hAnsi="Arial"/>
          <w:b/>
          <w:bCs/>
          <w:sz w:val="24"/>
          <w:szCs w:val="24"/>
        </w:rPr>
        <w:t xml:space="preserve">Ready now (zero-to-short deployment window)</w:t>
      </w:r>
    </w:p>
    <w:p>
      <w:pPr>
        <w:spacing w:after="120" w:line="300"/>
        <w:jc w:val="left"/>
      </w:pPr>
      <w:r>
        <w:rPr>
          <w:rFonts w:ascii="Arial" w:cs="Arial" w:eastAsia="Arial" w:hAnsi="Arial"/>
          <w:b w:val="false"/>
          <w:bCs w:val="false"/>
          <w:i w:val="false"/>
          <w:iCs w:val="false"/>
          <w:sz w:val="22"/>
          <w:szCs w:val="22"/>
        </w:rPr>
        <w:t xml:space="preserve">Instruments already built and deployable. Mindgap is in this zone today — it ships as a Claude plugin, carries all twelve structural properties, and can be deployed into a Vietnamese client's marketing operation with only localisation work. The venture's first client engagements will draw heavily from this zone.</w:t>
      </w:r>
    </w:p>
    <w:p>
      <w:pPr>
        <w:pStyle w:val="Heading3"/>
        <w:spacing w:after="120" w:before="220"/>
      </w:pPr>
      <w:r>
        <w:rPr>
          <w:rFonts w:ascii="Arial" w:cs="Arial" w:eastAsia="Arial" w:hAnsi="Arial"/>
          <w:b/>
          <w:bCs/>
          <w:sz w:val="24"/>
          <w:szCs w:val="24"/>
        </w:rPr>
        <w:t xml:space="preserve">One-window readiness (short-to-medium window)</w:t>
      </w:r>
    </w:p>
    <w:p>
      <w:pPr>
        <w:spacing w:after="120" w:line="300"/>
        <w:jc w:val="left"/>
      </w:pPr>
      <w:r>
        <w:rPr>
          <w:rFonts w:ascii="Arial" w:cs="Arial" w:eastAsia="Arial" w:hAnsi="Arial"/>
          <w:b w:val="false"/>
          <w:bCs w:val="false"/>
          <w:i w:val="false"/>
          <w:iCs w:val="false"/>
          <w:sz w:val="22"/>
          <w:szCs w:val="22"/>
        </w:rPr>
        <w:t xml:space="preserve">Instruments that can be delivered from a signed client engagement within one Mindgap-calibrated build window. The build window is the empirical time it took to bring Mindgap to its current release state, compressed by the fact that subsequent instruments inherit Mindgap's cross-cutting references, validator, rendering contract, and code infrastructure. In practice this is a range — faster when the domain has clean primary sources and an existing connector-library overlap, slower when the domain requires fresh KB curation.</w:t>
      </w:r>
    </w:p>
    <w:p>
      <w:pPr>
        <w:spacing w:after="120" w:line="300"/>
        <w:jc w:val="left"/>
      </w:pPr>
      <w:r>
        <w:rPr>
          <w:rFonts w:ascii="Arial" w:cs="Arial" w:eastAsia="Arial" w:hAnsi="Arial"/>
          <w:b w:val="false"/>
          <w:bCs w:val="false"/>
          <w:i w:val="false"/>
          <w:iCs w:val="false"/>
          <w:sz w:val="22"/>
          <w:szCs w:val="22"/>
        </w:rPr>
        <w:t xml:space="preserve">Candidate instruments in this zone include, in no planned order:</w:t>
      </w:r>
    </w:p>
    <w:p>
      <w:pPr>
        <w:pStyle w:val="ListParagraph"/>
        <w:numPr>
          <w:ilvl w:val="0"/>
          <w:numId w:val="2"/>
        </w:numPr>
        <w:spacing w:after="80" w:line="300"/>
      </w:pPr>
      <w:r>
        <w:rPr>
          <w:rFonts w:ascii="Arial" w:cs="Arial" w:eastAsia="Arial" w:hAnsi="Arial"/>
          <w:sz w:val="22"/>
          <w:szCs w:val="22"/>
        </w:rPr>
        <w:t xml:space="preserve">Finance-operations instrument — Vietnamese chart-of-accounts (Circular 200), VAS journal conventions, e-invoice schema handling (MISA, Viettel, FPT), variance analysis, close-management flows.</w:t>
      </w:r>
    </w:p>
    <w:p>
      <w:pPr>
        <w:pStyle w:val="ListParagraph"/>
        <w:numPr>
          <w:ilvl w:val="0"/>
          <w:numId w:val="2"/>
        </w:numPr>
        <w:spacing w:after="80" w:line="300"/>
      </w:pPr>
      <w:r>
        <w:rPr>
          <w:rFonts w:ascii="Arial" w:cs="Arial" w:eastAsia="Arial" w:hAnsi="Arial"/>
          <w:sz w:val="22"/>
          <w:szCs w:val="22"/>
        </w:rPr>
        <w:t xml:space="preserve">HR-operations instrument — Vietnamese Labour Code grounding, payroll-flow handling, statutory benefits and insurance calculations, bilingual policy-document flows.</w:t>
      </w:r>
    </w:p>
    <w:p>
      <w:pPr>
        <w:pStyle w:val="ListParagraph"/>
        <w:numPr>
          <w:ilvl w:val="0"/>
          <w:numId w:val="2"/>
        </w:numPr>
        <w:spacing w:after="80" w:line="300"/>
      </w:pPr>
      <w:r>
        <w:rPr>
          <w:rFonts w:ascii="Arial" w:cs="Arial" w:eastAsia="Arial" w:hAnsi="Arial"/>
          <w:sz w:val="22"/>
          <w:szCs w:val="22"/>
        </w:rPr>
        <w:t xml:space="preserve">Quality-survey (QS) instrument — for field-operation clients who need audit-grade quality surveys with reproducible scoring and reporting.</w:t>
      </w:r>
    </w:p>
    <w:p>
      <w:pPr>
        <w:pStyle w:val="ListParagraph"/>
        <w:numPr>
          <w:ilvl w:val="0"/>
          <w:numId w:val="2"/>
        </w:numPr>
        <w:spacing w:after="80" w:line="300"/>
      </w:pPr>
      <w:r>
        <w:rPr>
          <w:rFonts w:ascii="Arial" w:cs="Arial" w:eastAsia="Arial" w:hAnsi="Arial"/>
          <w:sz w:val="22"/>
          <w:szCs w:val="22"/>
        </w:rPr>
        <w:t xml:space="preserve">Legal-operations instrument — for Vietnamese commercial and compliance review at document-grade (contracts, DPAs, service agreements), grounded in the Civil Code and sectoral regulation.</w:t>
      </w:r>
    </w:p>
    <w:p>
      <w:pPr>
        <w:pStyle w:val="ListParagraph"/>
        <w:numPr>
          <w:ilvl w:val="0"/>
          <w:numId w:val="2"/>
        </w:numPr>
        <w:spacing w:after="80" w:line="300"/>
      </w:pPr>
      <w:r>
        <w:rPr>
          <w:rFonts w:ascii="Arial" w:cs="Arial" w:eastAsia="Arial" w:hAnsi="Arial"/>
          <w:sz w:val="22"/>
          <w:szCs w:val="22"/>
        </w:rPr>
        <w:t xml:space="preserve">Customer-support instrument — Vietnamese-language triage, escalation, KB drafting, and cross-channel (Zalo, email, Messenger) response flow.</w:t>
      </w:r>
    </w:p>
    <w:p>
      <w:pPr>
        <w:pStyle w:val="Heading3"/>
        <w:spacing w:after="120" w:before="220"/>
      </w:pPr>
      <w:r>
        <w:rPr>
          <w:rFonts w:ascii="Arial" w:cs="Arial" w:eastAsia="Arial" w:hAnsi="Arial"/>
          <w:b/>
          <w:bCs/>
          <w:sz w:val="24"/>
          <w:szCs w:val="24"/>
        </w:rPr>
        <w:t xml:space="preserve">Two-window readiness (medium-to-long window)</w:t>
      </w:r>
    </w:p>
    <w:p>
      <w:pPr>
        <w:spacing w:after="120" w:line="300"/>
        <w:jc w:val="left"/>
      </w:pPr>
      <w:r>
        <w:rPr>
          <w:rFonts w:ascii="Arial" w:cs="Arial" w:eastAsia="Arial" w:hAnsi="Arial"/>
          <w:b w:val="false"/>
          <w:bCs w:val="false"/>
          <w:i w:val="false"/>
          <w:iCs w:val="false"/>
          <w:sz w:val="22"/>
          <w:szCs w:val="22"/>
        </w:rPr>
        <w:t xml:space="preserve">Instruments whose KB curation or regulatory grounding is heavy enough that they require a longer lead. Candidate zones include:</w:t>
      </w:r>
    </w:p>
    <w:p>
      <w:pPr>
        <w:pStyle w:val="ListParagraph"/>
        <w:numPr>
          <w:ilvl w:val="0"/>
          <w:numId w:val="2"/>
        </w:numPr>
        <w:spacing w:after="80" w:line="300"/>
      </w:pPr>
      <w:r>
        <w:rPr>
          <w:rFonts w:ascii="Arial" w:cs="Arial" w:eastAsia="Arial" w:hAnsi="Arial"/>
          <w:sz w:val="22"/>
          <w:szCs w:val="22"/>
        </w:rPr>
        <w:t xml:space="preserve">Tax-compliance instrument — CIT, VAT, and PIT flows grounded in current regulations and circulars, with provincial variation handling and tax-authority submission integrations.</w:t>
      </w:r>
    </w:p>
    <w:p>
      <w:pPr>
        <w:pStyle w:val="ListParagraph"/>
        <w:numPr>
          <w:ilvl w:val="0"/>
          <w:numId w:val="2"/>
        </w:numPr>
        <w:spacing w:after="80" w:line="300"/>
      </w:pPr>
      <w:r>
        <w:rPr>
          <w:rFonts w:ascii="Arial" w:cs="Arial" w:eastAsia="Arial" w:hAnsi="Arial"/>
          <w:sz w:val="22"/>
          <w:szCs w:val="22"/>
        </w:rPr>
        <w:t xml:space="preserve">Healthcare-operations and clinical-research-ops instruments — regulated domains requiring MOH alignment and careful curation.</w:t>
      </w:r>
    </w:p>
    <w:p>
      <w:pPr>
        <w:pStyle w:val="ListParagraph"/>
        <w:numPr>
          <w:ilvl w:val="0"/>
          <w:numId w:val="2"/>
        </w:numPr>
        <w:spacing w:after="80" w:line="300"/>
      </w:pPr>
      <w:r>
        <w:rPr>
          <w:rFonts w:ascii="Arial" w:cs="Arial" w:eastAsia="Arial" w:hAnsi="Arial"/>
          <w:sz w:val="22"/>
          <w:szCs w:val="22"/>
        </w:rPr>
        <w:t xml:space="preserve">Banking-compliance instrument — KYC/AML grounding under SBV guidance and regulated-transactional workflow support.</w:t>
      </w:r>
    </w:p>
    <w:p>
      <w:pPr>
        <w:pStyle w:val="ListParagraph"/>
        <w:numPr>
          <w:ilvl w:val="0"/>
          <w:numId w:val="2"/>
        </w:numPr>
        <w:spacing w:after="80" w:line="300"/>
      </w:pPr>
      <w:r>
        <w:rPr>
          <w:rFonts w:ascii="Arial" w:cs="Arial" w:eastAsia="Arial" w:hAnsi="Arial"/>
          <w:sz w:val="22"/>
          <w:szCs w:val="22"/>
        </w:rPr>
        <w:t xml:space="preserve">Public-sector-operations instrument — procurement, document-flow, and citizen-service handling under the applicable administrative-procedures regulations.</w:t>
      </w:r>
    </w:p>
    <w:p>
      <w:pPr>
        <w:pStyle w:val="Heading3"/>
        <w:spacing w:after="120" w:before="220"/>
      </w:pPr>
      <w:r>
        <w:rPr>
          <w:rFonts w:ascii="Arial" w:cs="Arial" w:eastAsia="Arial" w:hAnsi="Arial"/>
          <w:b/>
          <w:bCs/>
          <w:sz w:val="24"/>
          <w:szCs w:val="24"/>
        </w:rPr>
        <w:t xml:space="preserve">Always-on principle: fastest production deployment</w:t>
      </w:r>
    </w:p>
    <w:p>
      <w:pPr>
        <w:spacing w:after="120" w:line="300"/>
        <w:jc w:val="left"/>
      </w:pPr>
      <w:r>
        <w:rPr>
          <w:rFonts w:ascii="Arial" w:cs="Arial" w:eastAsia="Arial" w:hAnsi="Arial"/>
          <w:b w:val="false"/>
          <w:bCs w:val="false"/>
          <w:i w:val="false"/>
          <w:iCs w:val="false"/>
          <w:sz w:val="22"/>
          <w:szCs w:val="22"/>
        </w:rPr>
        <w:t xml:space="preserve">Whatever the candidate's nominal readiness zone, the venture operates under a standing principle: from a signed client engagement, collapse the time to first production use to the shortest honest number. The connector library, the reference architecture, the Mindgap-inherited infrastructure, and the deployment playbook exist to make this possible. Ranges in the catalogue reflect honesty about variance, not a preferred pace.</w:t>
      </w:r>
    </w:p>
    <w:p>
      <w:pPr>
        <w:pStyle w:val="Heading2"/>
        <w:spacing w:after="140" w:before="280"/>
      </w:pPr>
      <w:r>
        <w:rPr>
          <w:rFonts w:ascii="Arial" w:cs="Arial" w:eastAsia="Arial" w:hAnsi="Arial"/>
          <w:b/>
          <w:bCs/>
          <w:sz w:val="28"/>
          <w:szCs w:val="28"/>
        </w:rPr>
        <w:t xml:space="preserve">5.3 Parallel track — the Vietnamese connector library</w:t>
      </w:r>
    </w:p>
    <w:p>
      <w:pPr>
        <w:spacing w:after="120" w:line="300"/>
        <w:jc w:val="left"/>
      </w:pPr>
      <w:r>
        <w:rPr>
          <w:rFonts w:ascii="Arial" w:cs="Arial" w:eastAsia="Arial" w:hAnsi="Arial"/>
          <w:b w:val="false"/>
          <w:bCs w:val="false"/>
          <w:i w:val="false"/>
          <w:iCs w:val="false"/>
          <w:sz w:val="22"/>
          <w:szCs w:val="22"/>
        </w:rPr>
        <w:t xml:space="preserve">Alongside the instrument catalogue, the venture maintains a connector library as a first-class Pillar-1 asset. The library accumulates a custom MCP server or direct adapter for each client-system type the venture encounters: local ERPs (MISA-Accounting, Bravo, Fast, Effect), proprietary SQL database patterns, e-invoice provider APIs (MISA, Viettel, FPT), messaging archives (Zalo OA), banking-portal integrations where permitted, tax-authority submission interfaces, and sector-specific applications.</w:t>
      </w:r>
    </w:p>
    <w:p>
      <w:pPr>
        <w:spacing w:after="120" w:line="300"/>
        <w:jc w:val="left"/>
      </w:pPr>
      <w:r>
        <w:rPr>
          <w:rFonts w:ascii="Arial" w:cs="Arial" w:eastAsia="Arial" w:hAnsi="Arial"/>
          <w:b w:val="false"/>
          <w:bCs w:val="false"/>
          <w:i w:val="false"/>
          <w:iCs w:val="false"/>
          <w:sz w:val="22"/>
          <w:szCs w:val="22"/>
        </w:rPr>
        <w:t xml:space="preserve">The library is a compounding asset. The first connector of any type is engineering work; subsequent deployments of the same connector across new clients are near-free. After two or three deployments in a vertical, new deployments in that vertical get materially cheaper because the connectors the instrument needs are already in the library. The library is also the scaffolding on which Pillar-2 engagements are built when Pillar-1 deployments hit their limits — a custom connector wrapped in a remote MCP server with server-side agents and governance is the Pillar-1-to-Pillar-2 graduation path.</w:t>
      </w:r>
    </w:p>
    <w:p>
      <w:pPr>
        <w:pStyle w:val="Heading2"/>
        <w:spacing w:after="140" w:before="280"/>
      </w:pPr>
      <w:r>
        <w:rPr>
          <w:rFonts w:ascii="Arial" w:cs="Arial" w:eastAsia="Arial" w:hAnsi="Arial"/>
          <w:b/>
          <w:bCs/>
          <w:sz w:val="28"/>
          <w:szCs w:val="28"/>
        </w:rPr>
        <w:t xml:space="preserve">5.4 Pillar 2 — reference architecture readiness</w:t>
      </w:r>
    </w:p>
    <w:p>
      <w:pPr>
        <w:spacing w:after="120" w:line="300"/>
        <w:jc w:val="left"/>
      </w:pPr>
      <w:r>
        <w:rPr>
          <w:rFonts w:ascii="Arial" w:cs="Arial" w:eastAsia="Arial" w:hAnsi="Arial"/>
          <w:b w:val="false"/>
          <w:bCs w:val="false"/>
          <w:i w:val="false"/>
          <w:iCs w:val="false"/>
          <w:sz w:val="22"/>
          <w:szCs w:val="22"/>
        </w:rPr>
        <w:t xml:space="preserve">Pillar 2 does not carry a catalogue. It carries a reference architecture, a component library, and a mobilisation readiness commitment:</w:t>
      </w:r>
    </w:p>
    <w:p>
      <w:pPr>
        <w:pStyle w:val="ListParagraph"/>
        <w:numPr>
          <w:ilvl w:val="0"/>
          <w:numId w:val="2"/>
        </w:numPr>
        <w:spacing w:after="80" w:line="300"/>
      </w:pPr>
      <w:r>
        <w:rPr>
          <w:rFonts w:ascii="Arial" w:cs="Arial" w:eastAsia="Arial" w:hAnsi="Arial"/>
          <w:sz w:val="22"/>
          <w:szCs w:val="22"/>
        </w:rPr>
        <w:t xml:space="preserve">Reference architecture — the ATP-demonstrated pattern: Claude-side skill interface; OAuth-tenanted remote MCP backend; multi-agent pipeline with typed stages; curated server-side corpora; audit logging and tenant identity end-to-end; cross-venture composition hooks.</w:t>
      </w:r>
    </w:p>
    <w:p>
      <w:pPr>
        <w:pStyle w:val="ListParagraph"/>
        <w:numPr>
          <w:ilvl w:val="0"/>
          <w:numId w:val="2"/>
        </w:numPr>
        <w:spacing w:after="80" w:line="300"/>
      </w:pPr>
      <w:r>
        <w:rPr>
          <w:rFonts w:ascii="Arial" w:cs="Arial" w:eastAsia="Arial" w:hAnsi="Arial"/>
          <w:sz w:val="22"/>
          <w:szCs w:val="22"/>
        </w:rPr>
        <w:t xml:space="preserve">Component library — reusable backend parts the venture develops and maintains: authentication, audit, evidence gathering, simulation engine, rendering adapter, cross-venture interface stubs. Every Pillar-2 engagement specialises these components rather than writing them fresh.</w:t>
      </w:r>
    </w:p>
    <w:p>
      <w:pPr>
        <w:pStyle w:val="ListParagraph"/>
        <w:numPr>
          <w:ilvl w:val="0"/>
          <w:numId w:val="2"/>
        </w:numPr>
        <w:spacing w:after="80" w:line="300"/>
      </w:pPr>
      <w:r>
        <w:rPr>
          <w:rFonts w:ascii="Arial" w:cs="Arial" w:eastAsia="Arial" w:hAnsi="Arial"/>
          <w:sz w:val="22"/>
          <w:szCs w:val="22"/>
        </w:rPr>
        <w:t xml:space="preserve">Mobilisation readiness — the venture commits to scoping any Pillar-2 engagement within one to two weeks of first inquiry, producing a specialised system design against the reference architecture that the client can sign against. The commitment is not a product list; it is a response time.</w:t>
      </w:r>
    </w:p>
    <w:p>
      <w:pPr>
        <w:pStyle w:val="Heading2"/>
        <w:spacing w:after="140" w:before="280"/>
      </w:pPr>
      <w:r>
        <w:rPr>
          <w:rFonts w:ascii="Arial" w:cs="Arial" w:eastAsia="Arial" w:hAnsi="Arial"/>
          <w:b/>
          <w:bCs/>
          <w:sz w:val="28"/>
          <w:szCs w:val="28"/>
        </w:rPr>
        <w:t xml:space="preserve">5.5 Cross-pillar graduation</w:t>
      </w:r>
    </w:p>
    <w:p>
      <w:pPr>
        <w:spacing w:after="120" w:line="300"/>
        <w:jc w:val="left"/>
      </w:pPr>
      <w:r>
        <w:rPr>
          <w:rFonts w:ascii="Arial" w:cs="Arial" w:eastAsia="Arial" w:hAnsi="Arial"/>
          <w:b w:val="false"/>
          <w:bCs w:val="false"/>
          <w:i w:val="false"/>
          <w:iCs w:val="false"/>
          <w:sz w:val="22"/>
          <w:szCs w:val="22"/>
        </w:rPr>
        <w:t xml:space="preserve">The plan treats Pillar 1 and Pillar 2 as one product line at two infrastructure intensities, and explicitly supports graduation between them. A Pillar-1 instrument that encounters scale limits (high-frequency writes, multi-tenant orchestration, corpus that outgrows the working folder) or governance limits (regulated auditing, cross-venture composition, physical-world actuation) graduates to Pillar 2 by: wrapping its custom connectors in a remote MCP server; moving its multi-agent workflow to server-side; migrating its KB to a server-side corpus with per-tenant access; and adding the Pillar-2 reference-architecture components it now needs. The client relationship does not break across this graduation; the commercial model shifts from Pillar-1 pricing to Pillar-2 pricing.</w:t>
      </w:r>
    </w:p>
    <w:p>
      <w:pPr>
        <w:pStyle w:val="Heading1"/>
        <w:spacing w:after="180" w:before="360"/>
      </w:pPr>
      <w:r>
        <w:rPr>
          <w:rFonts w:ascii="Arial" w:cs="Arial" w:eastAsia="Arial" w:hAnsi="Arial"/>
          <w:b/>
          <w:bCs/>
          <w:sz w:val="32"/>
          <w:szCs w:val="32"/>
        </w:rPr>
        <w:t xml:space="preserve">6. Team</w:t>
      </w:r>
    </w:p>
    <w:p>
      <w:pPr>
        <w:pStyle w:val="Heading2"/>
        <w:spacing w:after="140" w:before="280"/>
      </w:pPr>
      <w:r>
        <w:rPr>
          <w:rFonts w:ascii="Arial" w:cs="Arial" w:eastAsia="Arial" w:hAnsi="Arial"/>
          <w:b/>
          <w:bCs/>
          <w:sz w:val="28"/>
          <w:szCs w:val="28"/>
        </w:rPr>
        <w:t xml:space="preserve">6.1 Starting configuration</w:t>
      </w:r>
    </w:p>
    <w:p>
      <w:pPr>
        <w:spacing w:after="120" w:line="300"/>
        <w:jc w:val="left"/>
      </w:pPr>
      <w:r>
        <w:rPr>
          <w:rFonts w:ascii="Arial" w:cs="Arial" w:eastAsia="Arial" w:hAnsi="Arial"/>
          <w:b w:val="false"/>
          <w:bCs w:val="false"/>
          <w:i w:val="false"/>
          <w:iCs w:val="false"/>
          <w:sz w:val="22"/>
          <w:szCs w:val="22"/>
        </w:rPr>
        <w:t xml:space="preserve">The venture starts with a two-person standing AI team, plus a per-engagement software-architecture capacity drawn from BigSmall:</w:t>
      </w:r>
    </w:p>
    <w:p>
      <w:pPr>
        <w:pStyle w:val="ListParagraph"/>
        <w:numPr>
          <w:ilvl w:val="0"/>
          <w:numId w:val="2"/>
        </w:numPr>
        <w:spacing w:after="80" w:line="300"/>
      </w:pPr>
      <w:r>
        <w:rPr>
          <w:rFonts w:ascii="Arial" w:cs="Arial" w:eastAsia="Arial" w:hAnsi="Arial"/>
          <w:b/>
          <w:bCs/>
          <w:sz w:val="22"/>
          <w:szCs w:val="22"/>
        </w:rPr>
        <w:t xml:space="preserve">AI Lead (Sơn) — </w:t>
      </w:r>
      <w:r>
        <w:rPr>
          <w:rFonts w:ascii="Arial" w:cs="Arial" w:eastAsia="Arial" w:hAnsi="Arial"/>
          <w:sz w:val="22"/>
          <w:szCs w:val="22"/>
        </w:rPr>
        <w:t xml:space="preserve">founding AI leadership of the venture. Scope is closer to Chief AI Officer / Head of AI at a research-grounded agentic-AI startup than to a software-company CTO: overall AI strategy, instrument and system design, research-grade engineering, team training, client-facing senior design work, and cross-venture coordination with the cybersecurity and IoT companies. Sơn's stated allocation to this venture is one-third of his working time, with the other two-thirds split between BigSmall AI (Vietnam-based AI research lab, where Mindgap and ATP originate) and Panalogy Lab (Queensland, Australia R&amp;D studio building scalable AI tools for decision intelligence — research themes span Social AI, behavioural modelling, synthetic agents, adaptive human-centred intelligence, and agentic AI×IoT cyber-physical control and optimization). The AI venture is the commercialisation channel into Vietnamese businesses and government for what those labs produce; BigSmall is a direct feed, and Panalogy Lab is a partner (BigSmall appears on Panalogy Lab's partner list), with agentic AI behaviour research and agentic cyber-physical systems flowing from Panalogy Lab into the venture's Pillar-2 reference-architecture work over time. Panalogy Lab's first-of-its-kind agentic PLC system (Agent Rung, agentrung.ai — see section 2.2) is the concrete embodiment of this cyber-physical capability and the closest existing analogue of the kind of AI × IoT cross-venture work the Innovation Centre is positioned to deliver. In practice, Sơn's one-third stated load delivers output roughly equivalent to a typical full-time AI-lead hire — high skill density, research-grade productivity, and multi-lab leverage compress the hours required. The venture therefore pays for full-FTE-equivalent output at a fractional rate against Sơn's international market rate (see section 7.2).</w:t>
      </w:r>
    </w:p>
    <w:p>
      <w:pPr>
        <w:pStyle w:val="ListParagraph"/>
        <w:numPr>
          <w:ilvl w:val="0"/>
          <w:numId w:val="2"/>
        </w:numPr>
        <w:spacing w:after="80" w:line="300"/>
      </w:pPr>
      <w:r>
        <w:rPr>
          <w:rFonts w:ascii="Arial" w:cs="Arial" w:eastAsia="Arial" w:hAnsi="Arial"/>
          <w:b/>
          <w:bCs/>
          <w:sz w:val="22"/>
          <w:szCs w:val="22"/>
        </w:rPr>
        <w:t xml:space="preserve">Agentic AI Dev — </w:t>
      </w:r>
      <w:r>
        <w:rPr>
          <w:rFonts w:ascii="Arial" w:cs="Arial" w:eastAsia="Arial" w:hAnsi="Arial"/>
          <w:sz w:val="22"/>
          <w:szCs w:val="22"/>
        </w:rPr>
        <w:t xml:space="preserve">daily implementation across Pillar-1 instrument deployment, connector-library development, Pillar-2 engagement execution, and direct client-facing work. Full-time load. BigSmall-seconded. This role also carries the Product Owner function until the venture's workload requires a dedicated PO — see section 6.3.</w:t>
      </w:r>
    </w:p>
    <w:p>
      <w:pPr>
        <w:pStyle w:val="ListParagraph"/>
        <w:numPr>
          <w:ilvl w:val="0"/>
          <w:numId w:val="2"/>
        </w:numPr>
        <w:spacing w:after="80" w:line="300"/>
      </w:pPr>
      <w:r>
        <w:rPr>
          <w:rFonts w:ascii="Arial" w:cs="Arial" w:eastAsia="Arial" w:hAnsi="Arial"/>
          <w:b/>
          <w:bCs/>
          <w:sz w:val="22"/>
          <w:szCs w:val="22"/>
        </w:rPr>
        <w:t xml:space="preserve">Bằng (Software Architect, BigSmall — per-engagement) — </w:t>
      </w:r>
      <w:r>
        <w:rPr>
          <w:rFonts w:ascii="Arial" w:cs="Arial" w:eastAsia="Arial" w:hAnsi="Arial"/>
          <w:sz w:val="22"/>
          <w:szCs w:val="22"/>
        </w:rPr>
        <w:t xml:space="preserve">backend architecture for Pillar-2 engagements. Not a standing venture headcount — drawn in per engagement from BigSmall at the QS-quote reference rate (30M VND/mo × engagement length). For the reference QS engagement, this is six months of architect time priced into the project cost (180M VND over six months). For future Pillar-2 engagements, the architect line is sized to the specific engagement's backend scope.</w:t>
      </w:r>
    </w:p>
    <w:p>
      <w:pPr>
        <w:pStyle w:val="Heading2"/>
        <w:spacing w:after="140" w:before="280"/>
      </w:pPr>
      <w:r>
        <w:rPr>
          <w:rFonts w:ascii="Arial" w:cs="Arial" w:eastAsia="Arial" w:hAnsi="Arial"/>
          <w:b/>
          <w:bCs/>
          <w:sz w:val="28"/>
          <w:szCs w:val="28"/>
        </w:rPr>
        <w:t xml:space="preserve">6.2 Attention and output — honest-stated</w:t>
      </w:r>
    </w:p>
    <w:p>
      <w:pPr>
        <w:spacing w:after="120" w:line="300"/>
        <w:jc w:val="left"/>
      </w:pPr>
      <w:r>
        <w:rPr>
          <w:rFonts w:ascii="Arial" w:cs="Arial" w:eastAsia="Arial" w:hAnsi="Arial"/>
          <w:b w:val="false"/>
          <w:bCs w:val="false"/>
          <w:i w:val="false"/>
          <w:iCs w:val="false"/>
          <w:sz w:val="22"/>
          <w:szCs w:val="22"/>
        </w:rPr>
        <w:t xml:space="preserve">The one-third stated load is a schedule fact, not a capacity fact. Because the work is research-grade and the skill density is high, Sơn's one-third time on the AI venture delivers output roughly equivalent to what a typical full-time AI-lead hire would produce. The venture should therefore plan as though it has a full-time AI lead in output terms — but it should plan as though it has a one-third AI lead in scheduling terms. Real-time availability, same-day turnaround, and extended on-site presence remain bounded by the stated load; design velocity, strategic direction, and quality of output are not.</w:t>
      </w:r>
    </w:p>
    <w:p>
      <w:pPr>
        <w:spacing w:after="120" w:line="300"/>
        <w:jc w:val="left"/>
      </w:pPr>
      <w:r>
        <w:rPr>
          <w:rFonts w:ascii="Arial" w:cs="Arial" w:eastAsia="Arial" w:hAnsi="Arial"/>
          <w:b w:val="false"/>
          <w:bCs w:val="false"/>
          <w:i w:val="false"/>
          <w:iCs w:val="false"/>
          <w:sz w:val="22"/>
          <w:szCs w:val="22"/>
        </w:rPr>
        <w:t xml:space="preserve">This distinction matters to the cost model. The venture receives CAIO-class output at a rate that is a fraction of Sơn's international market rate (see section 7.2). Clients receive a senior AI-lead presence on their engagements; stakeholders should plan client communication around the load split (the agentic dev is the client's day-to-day; Sơn is the strategic and design escalation point) so that the attention boundary is visible and predictable.</w:t>
      </w:r>
    </w:p>
    <w:p>
      <w:pPr>
        <w:pStyle w:val="Heading2"/>
        <w:spacing w:after="140" w:before="280"/>
      </w:pPr>
      <w:r>
        <w:rPr>
          <w:rFonts w:ascii="Arial" w:cs="Arial" w:eastAsia="Arial" w:hAnsi="Arial"/>
          <w:b/>
          <w:bCs/>
          <w:sz w:val="28"/>
          <w:szCs w:val="28"/>
        </w:rPr>
        <w:t xml:space="preserve">6.3 Dedicated Product Owner — hiring trigger</w:t>
      </w:r>
    </w:p>
    <w:p>
      <w:pPr>
        <w:spacing w:after="120" w:line="300"/>
        <w:jc w:val="left"/>
      </w:pPr>
      <w:r>
        <w:rPr>
          <w:rFonts w:ascii="Arial" w:cs="Arial" w:eastAsia="Arial" w:hAnsi="Arial"/>
          <w:b w:val="false"/>
          <w:bCs w:val="false"/>
          <w:i w:val="false"/>
          <w:iCs w:val="false"/>
          <w:sz w:val="22"/>
          <w:szCs w:val="22"/>
        </w:rPr>
        <w:t xml:space="preserve">The dev-as-PO arrangement is sustainable for six to nine months of early operation. It breaks when the venture's bottleneck migrates from "can we build it" to "are we building the right thing." The plan sets an explicit hiring trigger rather than a calendar target: a dedicated PO is hired when any one of the following holds:</w:t>
      </w:r>
    </w:p>
    <w:p>
      <w:pPr>
        <w:pStyle w:val="ListParagraph"/>
        <w:numPr>
          <w:ilvl w:val="0"/>
          <w:numId w:val="2"/>
        </w:numPr>
        <w:spacing w:after="80" w:line="300"/>
      </w:pPr>
      <w:r>
        <w:rPr>
          <w:rFonts w:ascii="Arial" w:cs="Arial" w:eastAsia="Arial" w:hAnsi="Arial"/>
          <w:sz w:val="22"/>
          <w:szCs w:val="22"/>
        </w:rPr>
        <w:t xml:space="preserve">Three concurrent paying engagements are active in the same month.</w:t>
      </w:r>
    </w:p>
    <w:p>
      <w:pPr>
        <w:pStyle w:val="ListParagraph"/>
        <w:numPr>
          <w:ilvl w:val="0"/>
          <w:numId w:val="2"/>
        </w:numPr>
        <w:spacing w:after="80" w:line="300"/>
      </w:pPr>
      <w:r>
        <w:rPr>
          <w:rFonts w:ascii="Arial" w:cs="Arial" w:eastAsia="Arial" w:hAnsi="Arial"/>
          <w:sz w:val="22"/>
          <w:szCs w:val="22"/>
        </w:rPr>
        <w:t xml:space="preserve">The dev is spending more than thirty per cent of time on non-engineering work (scoping, client comms, requirements elicitation, stakeholder management).</w:t>
      </w:r>
    </w:p>
    <w:p>
      <w:pPr>
        <w:pStyle w:val="ListParagraph"/>
        <w:numPr>
          <w:ilvl w:val="0"/>
          <w:numId w:val="2"/>
        </w:numPr>
        <w:spacing w:after="80" w:line="300"/>
      </w:pPr>
      <w:r>
        <w:rPr>
          <w:rFonts w:ascii="Arial" w:cs="Arial" w:eastAsia="Arial" w:hAnsi="Arial"/>
          <w:sz w:val="22"/>
          <w:szCs w:val="22"/>
        </w:rPr>
        <w:t xml:space="preserve">A Pillar-2 engagement is signed — Pillar-2 scoping and stakeholder management alone consume more PO bandwidth than the dev can carry while shipping.</w:t>
      </w:r>
    </w:p>
    <w:p>
      <w:pPr>
        <w:pStyle w:val="Heading2"/>
        <w:spacing w:after="140" w:before="280"/>
      </w:pPr>
      <w:r>
        <w:rPr>
          <w:rFonts w:ascii="Arial" w:cs="Arial" w:eastAsia="Arial" w:hAnsi="Arial"/>
          <w:b/>
          <w:bCs/>
          <w:sz w:val="28"/>
          <w:szCs w:val="28"/>
        </w:rPr>
        <w:t xml:space="preserve">6.4 Expansion roles — order of hire</w:t>
      </w:r>
    </w:p>
    <w:p>
      <w:pPr>
        <w:spacing w:after="120" w:line="300"/>
        <w:jc w:val="left"/>
      </w:pPr>
      <w:r>
        <w:rPr>
          <w:rFonts w:ascii="Arial" w:cs="Arial" w:eastAsia="Arial" w:hAnsi="Arial"/>
          <w:b w:val="false"/>
          <w:bCs w:val="false"/>
          <w:i w:val="false"/>
          <w:iCs w:val="false"/>
          <w:sz w:val="22"/>
          <w:szCs w:val="22"/>
        </w:rPr>
        <w:t xml:space="preserve">The plan names the expansion roles in probable order of need. Each is triggered by workload, not by the calendar:</w:t>
      </w:r>
    </w:p>
    <w:p>
      <w:pPr>
        <w:pStyle w:val="ListParagraph"/>
        <w:numPr>
          <w:ilvl w:val="0"/>
          <w:numId w:val="3"/>
        </w:numPr>
        <w:spacing w:after="80" w:line="300"/>
      </w:pPr>
      <w:r>
        <w:rPr>
          <w:rFonts w:ascii="Arial" w:cs="Arial" w:eastAsia="Arial" w:hAnsi="Arial"/>
          <w:sz w:val="22"/>
          <w:szCs w:val="22"/>
        </w:rPr>
        <w:t xml:space="preserve">Dedicated Product Owner (per trigger in 6.3) — carries requirements, client engagement, release cadence, and PO-level instrument-roadmap tradeoffs.</w:t>
      </w:r>
    </w:p>
    <w:p>
      <w:pPr>
        <w:pStyle w:val="ListParagraph"/>
        <w:numPr>
          <w:ilvl w:val="0"/>
          <w:numId w:val="3"/>
        </w:numPr>
        <w:spacing w:after="80" w:line="300"/>
      </w:pPr>
      <w:r>
        <w:rPr>
          <w:rFonts w:ascii="Arial" w:cs="Arial" w:eastAsia="Arial" w:hAnsi="Arial"/>
          <w:sz w:val="22"/>
          <w:szCs w:val="22"/>
        </w:rPr>
        <w:t xml:space="preserve">Second Agentic AI Dev — triggered when instrument generation velocity becomes the venture's bottleneck (two or more instruments in active generation, or one generation plus two active deployments).</w:t>
      </w:r>
    </w:p>
    <w:p>
      <w:pPr>
        <w:pStyle w:val="ListParagraph"/>
        <w:numPr>
          <w:ilvl w:val="0"/>
          <w:numId w:val="3"/>
        </w:numPr>
        <w:spacing w:after="80" w:line="300"/>
      </w:pPr>
      <w:r>
        <w:rPr>
          <w:rFonts w:ascii="Arial" w:cs="Arial" w:eastAsia="Arial" w:hAnsi="Arial"/>
          <w:sz w:val="22"/>
          <w:szCs w:val="22"/>
        </w:rPr>
        <w:t xml:space="preserve">KB Curation Lead — triggered when two or more instruments require ongoing Vietnamese-market KB curation on cadence. Research-background hire; liaises with legal, regulatory, and domain experts as needed.</w:t>
      </w:r>
    </w:p>
    <w:p>
      <w:pPr>
        <w:pStyle w:val="ListParagraph"/>
        <w:numPr>
          <w:ilvl w:val="0"/>
          <w:numId w:val="3"/>
        </w:numPr>
        <w:spacing w:after="80" w:line="300"/>
      </w:pPr>
      <w:r>
        <w:rPr>
          <w:rFonts w:ascii="Arial" w:cs="Arial" w:eastAsia="Arial" w:hAnsi="Arial"/>
          <w:sz w:val="22"/>
          <w:szCs w:val="22"/>
        </w:rPr>
        <w:t xml:space="preserve">Deployment Engineer — triggered when deployment velocity becomes the bottleneck (more than one concurrent deployment in any given month).</w:t>
      </w:r>
    </w:p>
    <w:p>
      <w:pPr>
        <w:pStyle w:val="ListParagraph"/>
        <w:numPr>
          <w:ilvl w:val="0"/>
          <w:numId w:val="3"/>
        </w:numPr>
        <w:spacing w:after="80" w:line="300"/>
      </w:pPr>
      <w:r>
        <w:rPr>
          <w:rFonts w:ascii="Arial" w:cs="Arial" w:eastAsia="Arial" w:hAnsi="Arial"/>
          <w:sz w:val="22"/>
          <w:szCs w:val="22"/>
        </w:rPr>
        <w:t xml:space="preserve">Backend Engineer for Pillar 2 — triggered on the second Pillar-2 engagement. The reference architecture and component library are designed to be specialised by a backend engineer distinct from the agentic dev.</w:t>
      </w:r>
    </w:p>
    <w:p>
      <w:pPr>
        <w:pStyle w:val="ListParagraph"/>
        <w:numPr>
          <w:ilvl w:val="0"/>
          <w:numId w:val="3"/>
        </w:numPr>
        <w:spacing w:after="80" w:line="300"/>
      </w:pPr>
      <w:r>
        <w:rPr>
          <w:rFonts w:ascii="Arial" w:cs="Arial" w:eastAsia="Arial" w:hAnsi="Arial"/>
          <w:sz w:val="22"/>
          <w:szCs w:val="22"/>
        </w:rPr>
        <w:t xml:space="preserve">Security / Privacy Engineer — formally a shared hire with the cybersecurity company or a deepening integration of their existing staff into the AI venture's delivery cadence. Triggered when a regulated-industry engagement (bank, insurer, public sector) is signed.</w:t>
      </w:r>
    </w:p>
    <w:p>
      <w:pPr>
        <w:pStyle w:val="Heading2"/>
        <w:spacing w:after="140" w:before="280"/>
      </w:pPr>
      <w:r>
        <w:rPr>
          <w:rFonts w:ascii="Arial" w:cs="Arial" w:eastAsia="Arial" w:hAnsi="Arial"/>
          <w:b/>
          <w:bCs/>
          <w:sz w:val="28"/>
          <w:szCs w:val="28"/>
        </w:rPr>
        <w:t xml:space="preserve">6.5 Engagement build crews</w:t>
      </w:r>
    </w:p>
    <w:p>
      <w:pPr>
        <w:spacing w:after="120" w:line="300"/>
        <w:jc w:val="left"/>
      </w:pPr>
      <w:r>
        <w:rPr>
          <w:rFonts w:ascii="Arial" w:cs="Arial" w:eastAsia="Arial" w:hAnsi="Arial"/>
          <w:b w:val="false"/>
          <w:bCs w:val="false"/>
          <w:i w:val="false"/>
          <w:iCs w:val="false"/>
          <w:sz w:val="22"/>
          <w:szCs w:val="22"/>
        </w:rPr>
        <w:t xml:space="preserve">Beyond the standing team and the triggered expansion roles, each Pillar-2 engagement pulls in a project-specific build crew — short-term contractors hired for that engagement's build window, priced into the engagement's cost basis (section 7.5), and discharged when the engagement ships. Bằng's QS quote illustrates the pattern: alongside the AI Lead and the Software Architect, the quote budgets a Product Owner (6 months), two developers (4 months), and one QC engineer (4 months). The PO in this line item is the permanent venture PO whose hiring is triggered by the Pillar-2 signing (section 6.3); the two developers and the QC engineer are not standing venture headcount — they are per-engagement contractors drawn in for that specific Pillar-2 build.</w:t>
      </w:r>
    </w:p>
    <w:p>
      <w:pPr>
        <w:spacing w:after="120" w:line="300"/>
        <w:jc w:val="left"/>
      </w:pPr>
      <w:r>
        <w:rPr>
          <w:rFonts w:ascii="Arial" w:cs="Arial" w:eastAsia="Arial" w:hAnsi="Arial"/>
          <w:b w:val="false"/>
          <w:bCs w:val="false"/>
          <w:i w:val="false"/>
          <w:iCs w:val="false"/>
          <w:sz w:val="22"/>
          <w:szCs w:val="22"/>
        </w:rPr>
        <w:t xml:space="preserve">The distinction matters for three reasons. First, cost physics: the dev-team line in section 7.5 is variable and scales with engagement scope, not with the venture's standing baseline. Second, hiring load: the AI Lead and the dedicated PO carry the crew-assembly work; the build-crew roles are not additional permanent hires on the venture's books. Third, what "the AI venture" actually is: a tight standing core — two permanent staff plus a per-engagement architect — that scales per-engagement via short-term build crews. That structure is what keeps the venture's operating baseline low and the Pillar-2 cost model credible as engagements scale.</w:t>
      </w:r>
    </w:p>
    <w:p>
      <w:pPr>
        <w:pStyle w:val="Heading2"/>
        <w:spacing w:after="140" w:before="280"/>
      </w:pPr>
      <w:r>
        <w:rPr>
          <w:rFonts w:ascii="Arial" w:cs="Arial" w:eastAsia="Arial" w:hAnsi="Arial"/>
          <w:b/>
          <w:bCs/>
          <w:sz w:val="28"/>
          <w:szCs w:val="28"/>
        </w:rPr>
        <w:t xml:space="preserve">6.6 Training cadence</w:t>
      </w:r>
    </w:p>
    <w:p>
      <w:pPr>
        <w:spacing w:after="120" w:line="300"/>
        <w:jc w:val="left"/>
      </w:pPr>
      <w:r>
        <w:rPr>
          <w:rFonts w:ascii="Arial" w:cs="Arial" w:eastAsia="Arial" w:hAnsi="Arial"/>
          <w:b w:val="false"/>
          <w:bCs w:val="false"/>
          <w:i w:val="false"/>
          <w:iCs w:val="false"/>
          <w:sz w:val="22"/>
          <w:szCs w:val="22"/>
        </w:rPr>
        <w:t xml:space="preserve">The AI Lead carries a structural training responsibility: every new hire and every cross-venture collaborator spends structured time on the twelve-property discipline, the rendering contract, the validator, and the connector-library patterns. Training is not an onboarding checkbox; it is a weekly cadence for the first three months of any new hire's tenure. This consumes Sơn's attention budget and is accounted for in the cost model.</w:t>
      </w:r>
    </w:p>
    <w:p>
      <w:pPr>
        <w:pStyle w:val="Heading1"/>
        <w:spacing w:after="180" w:before="360"/>
      </w:pPr>
      <w:r>
        <w:rPr>
          <w:rFonts w:ascii="Arial" w:cs="Arial" w:eastAsia="Arial" w:hAnsi="Arial"/>
          <w:b/>
          <w:bCs/>
          <w:sz w:val="32"/>
          <w:szCs w:val="32"/>
        </w:rPr>
        <w:t xml:space="preserve">7. Costs</w:t>
      </w:r>
    </w:p>
    <w:p>
      <w:pPr>
        <w:spacing w:after="120" w:line="300"/>
        <w:jc w:val="left"/>
      </w:pPr>
      <w:r>
        <w:rPr>
          <w:rFonts w:ascii="Arial" w:cs="Arial" w:eastAsia="Arial" w:hAnsi="Arial"/>
          <w:b w:val="false"/>
          <w:bCs w:val="false"/>
          <w:i w:val="false"/>
          <w:iCs w:val="false"/>
          <w:sz w:val="22"/>
          <w:szCs w:val="22"/>
        </w:rPr>
        <w:t xml:space="preserve">This section presents the cost-and-usage physics of the venture's AI operation — what the work costs to produce. It does not present pricing. Pricing, packaging, margins, discounts, per-seat or per-report commercials are the business plan's scope.</w:t>
      </w:r>
    </w:p>
    <w:p>
      <w:pPr>
        <w:pStyle w:val="Heading2"/>
        <w:spacing w:after="140" w:before="280"/>
      </w:pPr>
      <w:r>
        <w:rPr>
          <w:rFonts w:ascii="Arial" w:cs="Arial" w:eastAsia="Arial" w:hAnsi="Arial"/>
          <w:b/>
          <w:bCs/>
          <w:sz w:val="28"/>
          <w:szCs w:val="28"/>
        </w:rPr>
        <w:t xml:space="preserve">7.1 Baseline — client Claude Max plus venture-run backend</w:t>
      </w:r>
    </w:p>
    <w:p>
      <w:pPr>
        <w:spacing w:after="120" w:line="300"/>
        <w:jc w:val="left"/>
      </w:pPr>
      <w:r>
        <w:rPr>
          <w:rFonts w:ascii="Arial" w:cs="Arial" w:eastAsia="Arial" w:hAnsi="Arial"/>
          <w:b w:val="false"/>
          <w:bCs w:val="false"/>
          <w:i w:val="false"/>
          <w:iCs w:val="false"/>
          <w:sz w:val="22"/>
          <w:szCs w:val="22"/>
        </w:rPr>
        <w:t xml:space="preserve">Both pillars run on the same cost-physics shape: the client carries a Claude Max subscription (currently $100 per month per user) for the thin skill interface on their side, and the venture operates a remote MCP backend on which the instrument's sensitive IP and heavy lifting live (the IP-protection principle in section 1). The Claude Max subscription is the client's; the backend cost — Anthropic API tokens for server-side agent calls, hosting, storage, logging, identity, and audit — is the venture's. Any deviation from the assumption that the client carries their own Claude Max is flagged in the engagement scope.</w:t>
      </w:r>
    </w:p>
    <w:p>
      <w:pPr>
        <w:spacing w:after="120" w:line="300"/>
        <w:jc w:val="left"/>
      </w:pPr>
      <w:r>
        <w:rPr>
          <w:rFonts w:ascii="Arial" w:cs="Arial" w:eastAsia="Arial" w:hAnsi="Arial"/>
          <w:b w:val="false"/>
          <w:bCs w:val="false"/>
          <w:i w:val="false"/>
          <w:iCs w:val="false"/>
          <w:sz w:val="22"/>
          <w:szCs w:val="22"/>
        </w:rPr>
        <w:t xml:space="preserve">The two pillars differ in backend operational profile, not in whether there is a backend. Pillar-1 backends are shared multi-tenant infrastructure carrying many instruments; per-engagement compute cost is materially lower than Pillar-2 because the backend is shared, the pipelines are lighter, and the per-run token spend is contained. Pillar-2 backends are bespoke per engagement, with deeper pipelines, regulated-audit overhead, and cross-venture composition — per-engagement compute cost is materially higher.</w:t>
      </w:r>
    </w:p>
    <w:p>
      <w:pPr>
        <w:spacing w:after="120" w:line="300"/>
        <w:jc w:val="left"/>
      </w:pPr>
      <w:r>
        <w:rPr>
          <w:rFonts w:ascii="Arial" w:cs="Arial" w:eastAsia="Arial" w:hAnsi="Arial"/>
          <w:b w:val="false"/>
          <w:bCs w:val="false"/>
          <w:i w:val="false"/>
          <w:iCs w:val="false"/>
          <w:sz w:val="22"/>
          <w:szCs w:val="22"/>
        </w:rPr>
        <w:t xml:space="preserve">The Pillar-2 reference profile is anchored to ATP: approximately $10 per produced report, with a typical three-to-four iteration count per usable output yielding roughly $30 of compute per delivered user deliverable. The Pillar-1 reference profile is to be measured during pilot deployments; it is expected to be a small fraction of the Pillar-2 profile per equivalent delivered output, given the lighter backend pipelines and the shared infrastructure base, but it is not zero.</w:t>
      </w:r>
    </w:p>
    <w:p>
      <w:pPr>
        <w:pStyle w:val="Heading2"/>
        <w:spacing w:after="140" w:before="280"/>
      </w:pPr>
      <w:r>
        <w:rPr>
          <w:rFonts w:ascii="Arial" w:cs="Arial" w:eastAsia="Arial" w:hAnsi="Arial"/>
          <w:b/>
          <w:bCs/>
          <w:sz w:val="28"/>
          <w:szCs w:val="28"/>
        </w:rPr>
        <w:t xml:space="preserve">7.2 Team salaries</w:t>
      </w:r>
    </w:p>
    <w:p>
      <w:pPr>
        <w:spacing w:after="120" w:line="300"/>
        <w:jc w:val="left"/>
      </w:pPr>
      <w:r>
        <w:rPr>
          <w:rFonts w:ascii="Arial" w:cs="Arial" w:eastAsia="Arial" w:hAnsi="Arial"/>
          <w:b w:val="false"/>
          <w:bCs w:val="false"/>
          <w:i w:val="false"/>
          <w:iCs w:val="false"/>
          <w:sz w:val="22"/>
          <w:szCs w:val="22"/>
        </w:rPr>
        <w:t xml:space="preserve">The two headline figures are partnership-favoured rates that trace directly to Bằng's QS project quote (section 2.6). They are not independent market benchmarks, and the BigSmall partnership (section 2.7) is what makes them feasible. For context, the Agentic AI Dev rate of 50M VND/mo sits at the Vietnamese senior full-stack / early-career AI engineering minimum per 2025-26 local benchmarks (ITViec Vietnam IT Salary &amp; Recruitment Market Report 2025-2026). The AI Lead role — Chief AI Officer / Head of AI class with international research affiliations (BigSmall in Vietnam, Panalogy Lab in Australia) — would price internationally at USD $200K-$300K/year base for a Series B-D equivalent; Sơn's 120M VND/mo at 1/3 stated load (full-FTE equivalent ≈ 360M VND/mo ≈ USD $170K/year) is below that international floor, consistent with a partnership-favoured 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Role</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Monthly salary (VND)</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Market benchmark anchor</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Notes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AI Lead (Sơn) — Chief AI Officer class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120,000,000 (at 1/3 stated load, delivering ≈ full-FTE output)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Rate traces to Bằng's QS project quote (120M × 6 months = 720M). Comparison context: international CAIO / Head-of-AI base-rate floor is ~USD $200K/year; Sơn's full-load equivalent (360M VND/mo ≈ USD $170K/year) is below that floor — consistent with a BigSmall-partnership rate.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Role is not a conventional software-company CTO. Scope is founding AI leadership at an agentic-AI venture. The venture pays for the output, not the scheduled hours.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Agentic AI Dev (full-stack)</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50,000,000</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At the minimum base rate for senior full-stack / early-career AI engineers in HCMC — below the ITViec 2025-26 niche-role floor of ~55M VND/mo. BigSmall-seconded, which is what makes the rate feasible.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Full-time load; also carries PO role until a dedicated PO is hired. Handles full-stack agentic development across both pillars.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Bằng (Software Architect, BigSmall)</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Not a venture salary — see section 7.5 (Pillar-2 engagement cost)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30,000,000/mo per engagement (QS quote reference: 30M × 6 months = 180M). Available from BigSmall on a per-engagement basis.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Drawn in for Pillar-2 backend-architecture work. Not a standing venture cost; priced into each Pillar-2 engagement that requires architecture.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Future hires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Market rate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Per role, benchmarked against current market reports at time of hire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Determined by agreement between the venture and the member at time of hire</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i/>
          <w:iCs/>
          <w:sz w:val="22"/>
          <w:szCs w:val="22"/>
        </w:rPr>
        <w:t xml:space="preserve">Both headline figures trace to the QS quote and reflect BigSmall-partnership rates (section 2.7), not arms-length market rates. If the BigSmall partnership is not in place — i.e., the equity arrangement does not materialise — these rates would re-price against standing markets (Vietnamese senior full-stack ~55M+ VND/mo for the dev; international CAIO $200-300K/year base for Sơn), and the plan's cost physics would shift accordingly. The business plan is the place where this dependency is translated into commercial terms.</w:t>
      </w:r>
    </w:p>
    <w:p>
      <w:pPr>
        <w:spacing w:after="120" w:line="300"/>
        <w:jc w:val="left"/>
      </w:pPr>
      <w:r>
        <w:rPr>
          <w:rFonts w:ascii="Arial" w:cs="Arial" w:eastAsia="Arial" w:hAnsi="Arial"/>
          <w:i/>
          <w:iCs/>
          <w:sz w:val="22"/>
          <w:szCs w:val="22"/>
        </w:rPr>
        <w:t xml:space="preserve">Future hires per section 6.4 (PO, second dev, KB curation lead, deployment engineer, backend engineer, security/privacy engineer) are scheduled by the triggers in that section, not on a calendar timeline. A future replacement or second AI-lead hire would be priced against the full-load international CAIO rate, not against Sơn's current 1/3-load figure.</w:t>
      </w:r>
    </w:p>
    <w:p>
      <w:pPr>
        <w:pStyle w:val="Heading2"/>
        <w:spacing w:after="140" w:before="280"/>
      </w:pPr>
      <w:r>
        <w:rPr>
          <w:rFonts w:ascii="Arial" w:cs="Arial" w:eastAsia="Arial" w:hAnsi="Arial"/>
          <w:b/>
          <w:bCs/>
          <w:sz w:val="28"/>
          <w:szCs w:val="28"/>
        </w:rPr>
        <w:t xml:space="preserve">7.3 Per-person supporting infrastructure</w:t>
      </w:r>
    </w:p>
    <w:p>
      <w:pPr>
        <w:spacing w:after="120" w:line="300"/>
        <w:jc w:val="left"/>
      </w:pPr>
      <w:r>
        <w:rPr>
          <w:rFonts w:ascii="Arial" w:cs="Arial" w:eastAsia="Arial" w:hAnsi="Arial"/>
          <w:b w:val="false"/>
          <w:bCs w:val="false"/>
          <w:i w:val="false"/>
          <w:iCs w:val="false"/>
          <w:sz w:val="22"/>
          <w:szCs w:val="22"/>
        </w:rPr>
        <w:t xml:space="preserve">Fixed figures are those specified by the user; figures marked "to be agreed" are budget placeholders to be set between the venture and the member at hire, following the same policy as future-hire salaries.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1800"/>
        <w:gridCol w:w="2880"/>
      </w:tblGrid>
      <w:tr>
        <w:trPr>
          <w:tblHeader/>
        </w:trPr>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Item</w:t>
            </w:r>
          </w:p>
        </w:tc>
        <w:tc>
          <w:tcPr>
            <w:tcW w:type="dxa" w:w="23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Cost (VND)</w:t>
            </w:r>
          </w:p>
        </w:tc>
        <w:tc>
          <w:tcPr>
            <w:tcW w:type="dxa" w:w="18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Cadence</w:t>
            </w:r>
          </w:p>
        </w:tc>
        <w:tc>
          <w:tcPr>
            <w:tcW w:type="dxa" w:w="28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spacing w:after="40" w:line="280"/>
            </w:pPr>
            <w:r>
              <w:rPr>
                <w:rFonts w:ascii="Arial" w:cs="Arial" w:eastAsia="Arial" w:hAnsi="Arial"/>
                <w:b/>
                <w:bCs/>
                <w:sz w:val="22"/>
                <w:szCs w:val="22"/>
              </w:rPr>
              <w:t xml:space="preserve">Notes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Laptop</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40,000,000</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One-off; 3-4y refresh</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Spec appropriate for agentic development workloads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Supplementary device set</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To be agreed</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One-off</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Monitor, peripherals, mic/camera for client video calls</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Claude subscription</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3,000,000</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Monthly</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Max tier baseline; upgrade case-by-case</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Developer tools + cloud storage</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To be agreed</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Monthly</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Cursor/Copilot-class coding assistants, GitHub org, task tool, design tool; encrypted personal backup for cross-device work</w:t>
            </w:r>
          </w:p>
        </w:tc>
      </w:tr>
      <w:tr>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bCs/>
                <w:sz w:val="20"/>
                <w:szCs w:val="20"/>
              </w:rPr>
              <w:t xml:space="preserve">General admin costs</w:t>
            </w:r>
          </w:p>
        </w:tc>
        <w:tc>
          <w:tcPr>
            <w:tcW w:type="dxa" w:w="23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To be agreed</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Monthly / annual</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line="280"/>
            </w:pPr>
            <w:r>
              <w:rPr>
                <w:rFonts w:ascii="Arial" w:cs="Arial" w:eastAsia="Arial" w:hAnsi="Arial"/>
                <w:b w:val="false"/>
                <w:bCs w:val="false"/>
                <w:sz w:val="20"/>
                <w:szCs w:val="20"/>
              </w:rPr>
              <w:t xml:space="preserve">Mobile and connectivity stipend; learning &amp; development (courses, books, conferences — not optional for an AI venture); domestic business travel for HAN/HCM/DAD client visits; supplementary health insurance above statutory, at VN tech-retention market rate</w:t>
            </w:r>
          </w:p>
        </w:tc>
      </w:tr>
    </w:tbl>
    <w:p>
      <w:pPr>
        <w:spacing w:after="120" w:line="300"/>
        <w:jc w:val="left"/>
      </w:pPr>
      <w:r>
        <w:rPr>
          <w:rFonts w:ascii="Arial" w:cs="Arial" w:eastAsia="Arial" w:hAnsi="Arial"/>
          <w:b w:val="false"/>
          <w:bCs w:val="false"/>
          <w:i w:val="false"/>
          <w:iCs w:val="false"/>
          <w:sz w:val="22"/>
          <w:szCs w:val="22"/>
        </w:rPr>
        <w:t xml:space="preserve"/>
      </w:r>
    </w:p>
    <w:p>
      <w:pPr>
        <w:spacing w:after="120" w:line="300"/>
        <w:jc w:val="left"/>
      </w:pPr>
      <w:r>
        <w:rPr>
          <w:rFonts w:ascii="Arial" w:cs="Arial" w:eastAsia="Arial" w:hAnsi="Arial"/>
          <w:i/>
          <w:iCs/>
          <w:sz w:val="22"/>
          <w:szCs w:val="22"/>
        </w:rPr>
        <w:t xml:space="preserve">The "to be agreed" lines are intentionally left as placeholders. Specific figures are for the business plan to set based on venture budget and for negotiation with each member at hire; the AI plan's role here is to ensure each line is recognised and not forgotten in the commercial model.</w:t>
      </w:r>
    </w:p>
    <w:p>
      <w:pPr>
        <w:pStyle w:val="Heading2"/>
        <w:spacing w:after="140" w:before="280"/>
      </w:pPr>
      <w:r>
        <w:rPr>
          <w:rFonts w:ascii="Arial" w:cs="Arial" w:eastAsia="Arial" w:hAnsi="Arial"/>
          <w:b/>
          <w:bCs/>
          <w:sz w:val="28"/>
          <w:szCs w:val="28"/>
        </w:rPr>
        <w:t xml:space="preserve">7.4 Working space</w:t>
      </w:r>
    </w:p>
    <w:p>
      <w:pPr>
        <w:spacing w:after="120" w:line="300"/>
        <w:jc w:val="left"/>
      </w:pPr>
      <w:r>
        <w:rPr>
          <w:rFonts w:ascii="Arial" w:cs="Arial" w:eastAsia="Arial" w:hAnsi="Arial"/>
          <w:b w:val="false"/>
          <w:bCs w:val="false"/>
          <w:i w:val="false"/>
          <w:iCs w:val="false"/>
          <w:sz w:val="22"/>
          <w:szCs w:val="22"/>
        </w:rPr>
        <w:t xml:space="preserve">Flexible, optimised for productivity, operational efficiency, and client response latency. The specific arrangement (dedicated office, co-working membership, hybrid with BigSmall's space) is an operational decision taken against actual team location and client density. The plan commits to keeping the arrangement optimised against the stated criteria rather than fixing a figure. Stakeholders should budget a contingency line for working-space cost at market rate for whichever arrangement the team settles into.</w:t>
      </w:r>
    </w:p>
    <w:p>
      <w:pPr>
        <w:pStyle w:val="Heading2"/>
        <w:spacing w:after="140" w:before="280"/>
      </w:pPr>
      <w:r>
        <w:rPr>
          <w:rFonts w:ascii="Arial" w:cs="Arial" w:eastAsia="Arial" w:hAnsi="Arial"/>
          <w:b/>
          <w:bCs/>
          <w:sz w:val="28"/>
          <w:szCs w:val="28"/>
        </w:rPr>
        <w:t xml:space="preserve">7.5 Per-engagement variable costs</w:t>
      </w:r>
    </w:p>
    <w:p>
      <w:pPr>
        <w:pStyle w:val="Heading3"/>
        <w:spacing w:after="120" w:before="220"/>
      </w:pPr>
      <w:r>
        <w:rPr>
          <w:rFonts w:ascii="Arial" w:cs="Arial" w:eastAsia="Arial" w:hAnsi="Arial"/>
          <w:b/>
          <w:bCs/>
          <w:sz w:val="24"/>
          <w:szCs w:val="24"/>
        </w:rPr>
        <w:t xml:space="preserve">Pillar-1 instrument deployment</w:t>
      </w:r>
    </w:p>
    <w:p>
      <w:pPr>
        <w:spacing w:after="120" w:line="300"/>
        <w:jc w:val="left"/>
      </w:pPr>
      <w:r>
        <w:rPr>
          <w:rFonts w:ascii="Arial" w:cs="Arial" w:eastAsia="Arial" w:hAnsi="Arial"/>
          <w:b w:val="false"/>
          <w:bCs w:val="false"/>
          <w:i w:val="false"/>
          <w:iCs w:val="false"/>
          <w:sz w:val="22"/>
          <w:szCs w:val="22"/>
        </w:rPr>
        <w:t xml:space="preserve">Per-engagement cost lines for a typical Pillar-1 deployment:</w:t>
      </w:r>
    </w:p>
    <w:p>
      <w:pPr>
        <w:pStyle w:val="ListParagraph"/>
        <w:numPr>
          <w:ilvl w:val="0"/>
          <w:numId w:val="2"/>
        </w:numPr>
        <w:spacing w:after="80" w:line="300"/>
      </w:pPr>
      <w:r>
        <w:rPr>
          <w:rFonts w:ascii="Arial" w:cs="Arial" w:eastAsia="Arial" w:hAnsi="Arial"/>
          <w:sz w:val="22"/>
          <w:szCs w:val="22"/>
        </w:rPr>
        <w:t xml:space="preserve">Scoping and discovery — team time, typically five to ten working days depending on complexity and client readiness.</w:t>
      </w:r>
    </w:p>
    <w:p>
      <w:pPr>
        <w:pStyle w:val="ListParagraph"/>
        <w:numPr>
          <w:ilvl w:val="0"/>
          <w:numId w:val="2"/>
        </w:numPr>
        <w:spacing w:after="80" w:line="300"/>
      </w:pPr>
      <w:r>
        <w:rPr>
          <w:rFonts w:ascii="Arial" w:cs="Arial" w:eastAsia="Arial" w:hAnsi="Arial"/>
          <w:sz w:val="22"/>
          <w:szCs w:val="22"/>
        </w:rPr>
        <w:t xml:space="preserve">Localisation and instrument customisation — team time, variable by instrument complexity and client-specific adjustments.</w:t>
      </w:r>
    </w:p>
    <w:p>
      <w:pPr>
        <w:pStyle w:val="ListParagraph"/>
        <w:numPr>
          <w:ilvl w:val="0"/>
          <w:numId w:val="2"/>
        </w:numPr>
        <w:spacing w:after="80" w:line="300"/>
      </w:pPr>
      <w:r>
        <w:rPr>
          <w:rFonts w:ascii="Arial" w:cs="Arial" w:eastAsia="Arial" w:hAnsi="Arial"/>
          <w:sz w:val="22"/>
          <w:szCs w:val="22"/>
        </w:rPr>
        <w:t xml:space="preserve">Custom connector engineering — one-off if the connector is new to the library; near-zero if the connector already exists. Budget at senior-dev-time rate for new connectors.</w:t>
      </w:r>
    </w:p>
    <w:p>
      <w:pPr>
        <w:pStyle w:val="ListParagraph"/>
        <w:numPr>
          <w:ilvl w:val="0"/>
          <w:numId w:val="2"/>
        </w:numPr>
        <w:spacing w:after="80" w:line="300"/>
      </w:pPr>
      <w:r>
        <w:rPr>
          <w:rFonts w:ascii="Arial" w:cs="Arial" w:eastAsia="Arial" w:hAnsi="Arial"/>
          <w:sz w:val="22"/>
          <w:szCs w:val="22"/>
        </w:rPr>
        <w:t xml:space="preserve">Backend tenant provisioning — per-client provisioning on the venture's shared Pillar-1 backend (tenant identity, access policy, audit-log scope, KB version pinning). Standard cost per tenant on top of the shared backend's run-rate.</w:t>
      </w:r>
    </w:p>
    <w:p>
      <w:pPr>
        <w:pStyle w:val="ListParagraph"/>
        <w:numPr>
          <w:ilvl w:val="0"/>
          <w:numId w:val="2"/>
        </w:numPr>
        <w:spacing w:after="80" w:line="300"/>
      </w:pPr>
      <w:r>
        <w:rPr>
          <w:rFonts w:ascii="Arial" w:cs="Arial" w:eastAsia="Arial" w:hAnsi="Arial"/>
          <w:sz w:val="22"/>
          <w:szCs w:val="22"/>
        </w:rPr>
        <w:t xml:space="preserve">Client-side integration — VPN, ERP sandbox, test-data procurement, on-site days. Variable by client; typically absorbed as part of the deployment fee in first engagements.</w:t>
      </w:r>
    </w:p>
    <w:p>
      <w:pPr>
        <w:pStyle w:val="ListParagraph"/>
        <w:numPr>
          <w:ilvl w:val="0"/>
          <w:numId w:val="2"/>
        </w:numPr>
        <w:spacing w:after="80" w:line="300"/>
      </w:pPr>
      <w:r>
        <w:rPr>
          <w:rFonts w:ascii="Arial" w:cs="Arial" w:eastAsia="Arial" w:hAnsi="Arial"/>
          <w:sz w:val="22"/>
          <w:szCs w:val="22"/>
        </w:rPr>
        <w:t xml:space="preserve">Training — deliveries to the client's operators; team time plus training-content development amortised across engagements.</w:t>
      </w:r>
    </w:p>
    <w:p>
      <w:pPr>
        <w:pStyle w:val="ListParagraph"/>
        <w:numPr>
          <w:ilvl w:val="0"/>
          <w:numId w:val="2"/>
        </w:numPr>
        <w:spacing w:after="80" w:line="300"/>
      </w:pPr>
      <w:r>
        <w:rPr>
          <w:rFonts w:ascii="Arial" w:cs="Arial" w:eastAsia="Arial" w:hAnsi="Arial"/>
          <w:sz w:val="22"/>
          <w:szCs w:val="22"/>
        </w:rPr>
        <w:t xml:space="preserve">Maintenance and support — ongoing team time plus the client's share of shared-backend run-rate; proportional to the number of instruments under maintenance contract and their release cadence.</w:t>
      </w:r>
    </w:p>
    <w:p>
      <w:pPr>
        <w:pStyle w:val="Heading3"/>
        <w:spacing w:after="120" w:before="220"/>
      </w:pPr>
      <w:r>
        <w:rPr>
          <w:rFonts w:ascii="Arial" w:cs="Arial" w:eastAsia="Arial" w:hAnsi="Arial"/>
          <w:b/>
          <w:bCs/>
          <w:sz w:val="24"/>
          <w:szCs w:val="24"/>
        </w:rPr>
        <w:t xml:space="preserve">Pillar-1 per-run compute</w:t>
      </w:r>
    </w:p>
    <w:p>
      <w:pPr>
        <w:spacing w:after="120" w:line="300"/>
        <w:jc w:val="left"/>
      </w:pPr>
      <w:r>
        <w:rPr>
          <w:rFonts w:ascii="Arial" w:cs="Arial" w:eastAsia="Arial" w:hAnsi="Arial"/>
          <w:b w:val="false"/>
          <w:bCs w:val="false"/>
          <w:i w:val="false"/>
          <w:iCs w:val="false"/>
          <w:sz w:val="22"/>
          <w:szCs w:val="22"/>
        </w:rPr>
        <w:t xml:space="preserve">Pillar-1 instrument runs consume two compute streams: the client's Claude Max subscription for the thin skill interface (paid by the client as part of their existing subscription), and the venture's backend for the instrument's substance (paid by the venture as part of its operating cost). The Pillar-1 backend is shared multi-tenant infrastructure carrying many instruments; per-run compute cost is materially lower than Pillar 2 — to be measured during pilot deployments, but expected to be a small fraction of the $10/report Pillar-2 reference. The exact figure depends on the instrument's backend pipeline depth, sub-agent fanout, and rendering load.</w:t>
      </w:r>
    </w:p>
    <w:p>
      <w:pPr>
        <w:pStyle w:val="Heading3"/>
        <w:spacing w:after="120" w:before="220"/>
      </w:pPr>
      <w:r>
        <w:rPr>
          <w:rFonts w:ascii="Arial" w:cs="Arial" w:eastAsia="Arial" w:hAnsi="Arial"/>
          <w:b/>
          <w:bCs/>
          <w:sz w:val="24"/>
          <w:szCs w:val="24"/>
        </w:rPr>
        <w:t xml:space="preserve">Pillar-2 backend-build engagements</w:t>
      </w:r>
    </w:p>
    <w:p>
      <w:pPr>
        <w:spacing w:after="120" w:line="300"/>
        <w:jc w:val="left"/>
      </w:pPr>
      <w:r>
        <w:rPr>
          <w:rFonts w:ascii="Arial" w:cs="Arial" w:eastAsia="Arial" w:hAnsi="Arial"/>
          <w:b w:val="false"/>
          <w:bCs w:val="false"/>
          <w:i w:val="false"/>
          <w:iCs w:val="false"/>
          <w:sz w:val="22"/>
          <w:szCs w:val="22"/>
        </w:rPr>
        <w:t xml:space="preserve">The Pillar-2 cost model in this plan is anchored to Bằng's QS project quote (section 2.6), which is the empirical reference engagement. The QS quote's 1.59 bn VND cost basis over six months decomposes as follows, and each line below is the corresponding per-engagement cost structure for any future Pillar-2 build:</w:t>
      </w:r>
    </w:p>
    <w:p>
      <w:pPr>
        <w:pStyle w:val="ListParagraph"/>
        <w:numPr>
          <w:ilvl w:val="0"/>
          <w:numId w:val="2"/>
        </w:numPr>
        <w:spacing w:after="80" w:line="300"/>
      </w:pPr>
      <w:r>
        <w:rPr>
          <w:rFonts w:ascii="Arial" w:cs="Arial" w:eastAsia="Arial" w:hAnsi="Arial"/>
          <w:b/>
          <w:bCs/>
          <w:sz w:val="22"/>
          <w:szCs w:val="22"/>
        </w:rPr>
        <w:t xml:space="preserve">AI Lead — </w:t>
      </w:r>
      <w:r>
        <w:rPr>
          <w:rFonts w:ascii="Arial" w:cs="Arial" w:eastAsia="Arial" w:hAnsi="Arial"/>
          <w:sz w:val="22"/>
          <w:szCs w:val="22"/>
        </w:rPr>
        <w:t xml:space="preserve">120M VND/mo × 6 mo = 720M VND (QS quote reference). This is Sơn's line and traces to the salary figure in section 7.2.</w:t>
      </w:r>
    </w:p>
    <w:p>
      <w:pPr>
        <w:pStyle w:val="ListParagraph"/>
        <w:numPr>
          <w:ilvl w:val="0"/>
          <w:numId w:val="2"/>
        </w:numPr>
        <w:spacing w:after="80" w:line="300"/>
      </w:pPr>
      <w:r>
        <w:rPr>
          <w:rFonts w:ascii="Arial" w:cs="Arial" w:eastAsia="Arial" w:hAnsi="Arial"/>
          <w:b/>
          <w:bCs/>
          <w:sz w:val="22"/>
          <w:szCs w:val="22"/>
        </w:rPr>
        <w:t xml:space="preserve">Software Architect (Bằng, BigSmall-seconded) — </w:t>
      </w:r>
      <w:r>
        <w:rPr>
          <w:rFonts w:ascii="Arial" w:cs="Arial" w:eastAsia="Arial" w:hAnsi="Arial"/>
          <w:sz w:val="22"/>
          <w:szCs w:val="22"/>
        </w:rPr>
        <w:t xml:space="preserve">30M VND/mo × 6 mo = 180M VND (QS quote reference). Drawn in per engagement for backend architecture work; not a standing venture cost.</w:t>
      </w:r>
    </w:p>
    <w:p>
      <w:pPr>
        <w:pStyle w:val="ListParagraph"/>
        <w:numPr>
          <w:ilvl w:val="0"/>
          <w:numId w:val="2"/>
        </w:numPr>
        <w:spacing w:after="80" w:line="300"/>
      </w:pPr>
      <w:r>
        <w:rPr>
          <w:rFonts w:ascii="Arial" w:cs="Arial" w:eastAsia="Arial" w:hAnsi="Arial"/>
          <w:b/>
          <w:bCs/>
          <w:sz w:val="22"/>
          <w:szCs w:val="22"/>
        </w:rPr>
        <w:t xml:space="preserve">Dev team (PO + 2 devs + 1 QC) — </w:t>
      </w:r>
      <w:r>
        <w:rPr>
          <w:rFonts w:ascii="Arial" w:cs="Arial" w:eastAsia="Arial" w:hAnsi="Arial"/>
          <w:sz w:val="22"/>
          <w:szCs w:val="22"/>
        </w:rPr>
        <w:t xml:space="preserve">QS quote breakdown: PO at 45M VND/mo × 6 mo = 270M; 2 devs at 40M VND/mo × 4 mo = 320M; 1 QC at 20M VND/mo × 4 mo = 80M. QS total for the dev-team line = 690M VND. This is the software-build line the plan previously attributed abstractly; it traces to the QS quote.</w:t>
      </w:r>
    </w:p>
    <w:p>
      <w:pPr>
        <w:pStyle w:val="ListParagraph"/>
        <w:numPr>
          <w:ilvl w:val="0"/>
          <w:numId w:val="2"/>
        </w:numPr>
        <w:spacing w:after="80" w:line="300"/>
      </w:pPr>
      <w:r>
        <w:rPr>
          <w:rFonts w:ascii="Arial" w:cs="Arial" w:eastAsia="Arial" w:hAnsi="Arial"/>
          <w:b/>
          <w:bCs/>
          <w:sz w:val="22"/>
          <w:szCs w:val="22"/>
        </w:rPr>
        <w:t xml:space="preserve">QS quote total cost basis: </w:t>
      </w:r>
      <w:r>
        <w:rPr>
          <w:rFonts w:ascii="Arial" w:cs="Arial" w:eastAsia="Arial" w:hAnsi="Arial"/>
          <w:sz w:val="22"/>
          <w:szCs w:val="22"/>
        </w:rPr>
        <w:t xml:space="preserve">720M + 180M + 690M = 1,590M VND (≈ 1.59 bn) over six months for the reference six-person, six-month engagement.</w:t>
      </w:r>
    </w:p>
    <w:p>
      <w:pPr>
        <w:spacing w:after="120" w:line="300"/>
        <w:jc w:val="left"/>
      </w:pPr>
      <w:r>
        <w:rPr>
          <w:rFonts w:ascii="Arial" w:cs="Arial" w:eastAsia="Arial" w:hAnsi="Arial"/>
          <w:b w:val="false"/>
          <w:bCs w:val="false"/>
          <w:i w:val="false"/>
          <w:iCs w:val="false"/>
          <w:sz w:val="22"/>
          <w:szCs w:val="22"/>
        </w:rPr>
        <w:t xml:space="preserve">Additional Pillar-2 cost components not fully captured in the QS quote — and which should be added per engagement:</w:t>
      </w:r>
    </w:p>
    <w:p>
      <w:pPr>
        <w:pStyle w:val="ListParagraph"/>
        <w:numPr>
          <w:ilvl w:val="0"/>
          <w:numId w:val="2"/>
        </w:numPr>
        <w:spacing w:after="80" w:line="300"/>
      </w:pPr>
      <w:r>
        <w:rPr>
          <w:rFonts w:ascii="Arial" w:cs="Arial" w:eastAsia="Arial" w:hAnsi="Arial"/>
          <w:sz w:val="22"/>
          <w:szCs w:val="22"/>
        </w:rPr>
        <w:t xml:space="preserve">Scoping and design — one to two weeks of AI Lead + Agentic Dev time to specialise the reference architecture. May sit inside the first month of the engagement (as QS does) or be a separate pre-engagement line.</w:t>
      </w:r>
    </w:p>
    <w:p>
      <w:pPr>
        <w:pStyle w:val="ListParagraph"/>
        <w:numPr>
          <w:ilvl w:val="0"/>
          <w:numId w:val="2"/>
        </w:numPr>
        <w:spacing w:after="80" w:line="300"/>
      </w:pPr>
      <w:r>
        <w:rPr>
          <w:rFonts w:ascii="Arial" w:cs="Arial" w:eastAsia="Arial" w:hAnsi="Arial"/>
          <w:sz w:val="22"/>
          <w:szCs w:val="22"/>
        </w:rPr>
        <w:t xml:space="preserve">Infrastructure — hosting, storage, logging, identity (OAuth server, audit sink). Monthly run-rate depends on scale; budget line item set per engagement.</w:t>
      </w:r>
    </w:p>
    <w:p>
      <w:pPr>
        <w:pStyle w:val="ListParagraph"/>
        <w:numPr>
          <w:ilvl w:val="0"/>
          <w:numId w:val="2"/>
        </w:numPr>
        <w:spacing w:after="80" w:line="300"/>
      </w:pPr>
      <w:r>
        <w:rPr>
          <w:rFonts w:ascii="Arial" w:cs="Arial" w:eastAsia="Arial" w:hAnsi="Arial"/>
          <w:sz w:val="22"/>
          <w:szCs w:val="22"/>
        </w:rPr>
        <w:t xml:space="preserve">Curated corpus development — research labour to build and verify the server-side KB. Budget line item set per engagement; may overlap with the KB-curation line (see 7.7).</w:t>
      </w:r>
    </w:p>
    <w:p>
      <w:pPr>
        <w:pStyle w:val="ListParagraph"/>
        <w:numPr>
          <w:ilvl w:val="0"/>
          <w:numId w:val="2"/>
        </w:numPr>
        <w:spacing w:after="80" w:line="300"/>
      </w:pPr>
      <w:r>
        <w:rPr>
          <w:rFonts w:ascii="Arial" w:cs="Arial" w:eastAsia="Arial" w:hAnsi="Arial"/>
          <w:sz w:val="22"/>
          <w:szCs w:val="22"/>
        </w:rPr>
        <w:t xml:space="preserve">Cross-venture composition costs — coordination time with the cybersecurity and IoT companies; treated as an inter-company chargeback or a shared-cost line as the Innovation Centre determines.</w:t>
      </w:r>
    </w:p>
    <w:p>
      <w:pPr>
        <w:pStyle w:val="Heading3"/>
        <w:spacing w:after="120" w:before="220"/>
      </w:pPr>
      <w:r>
        <w:rPr>
          <w:rFonts w:ascii="Arial" w:cs="Arial" w:eastAsia="Arial" w:hAnsi="Arial"/>
          <w:b/>
          <w:bCs/>
          <w:sz w:val="24"/>
          <w:szCs w:val="24"/>
        </w:rPr>
        <w:t xml:space="preserve">Pillar-2 per-run compute</w:t>
      </w:r>
    </w:p>
    <w:p>
      <w:pPr>
        <w:spacing w:after="120" w:line="300"/>
        <w:jc w:val="left"/>
      </w:pPr>
      <w:r>
        <w:rPr>
          <w:rFonts w:ascii="Arial" w:cs="Arial" w:eastAsia="Arial" w:hAnsi="Arial"/>
          <w:b w:val="false"/>
          <w:bCs w:val="false"/>
          <w:i w:val="false"/>
          <w:iCs w:val="false"/>
          <w:sz w:val="22"/>
          <w:szCs w:val="22"/>
        </w:rPr>
        <w:t xml:space="preserve">ATP's empirical figure is approximately $10 per produced report, with a typical three-to-four iteration multiplier to reach a usable user deliverable, for an effective per-deliverable compute cost of roughly $30. This figure is the reference for the plan's Pillar-2 compute-cost reasoning; individual Pillar-2 engagements will have their own profiles measured during pilot phase. How this compute cost is billed to the client (pass-through credits, bundled subscription, project fee, or any hybrid) is a commercial decision outside this plan's scope.</w:t>
      </w:r>
    </w:p>
    <w:p>
      <w:pPr>
        <w:pStyle w:val="Heading3"/>
        <w:spacing w:after="120" w:before="220"/>
      </w:pPr>
      <w:r>
        <w:rPr>
          <w:rFonts w:ascii="Arial" w:cs="Arial" w:eastAsia="Arial" w:hAnsi="Arial"/>
          <w:b/>
          <w:bCs/>
          <w:sz w:val="24"/>
          <w:szCs w:val="24"/>
        </w:rPr>
        <w:t xml:space="preserve">3× iteration multiplier as a design assumption</w:t>
      </w:r>
    </w:p>
    <w:p>
      <w:pPr>
        <w:spacing w:after="120" w:line="300"/>
        <w:jc w:val="left"/>
      </w:pPr>
      <w:r>
        <w:rPr>
          <w:rFonts w:ascii="Arial" w:cs="Arial" w:eastAsia="Arial" w:hAnsi="Arial"/>
          <w:b w:val="false"/>
          <w:bCs w:val="false"/>
          <w:i w:val="false"/>
          <w:iCs w:val="false"/>
          <w:sz w:val="22"/>
          <w:szCs w:val="22"/>
        </w:rPr>
        <w:t xml:space="preserve">Agentic work is iterative. Users run, refine context, adjust scope, re-run. The plan bakes a 3× iteration multiplier into its per-run cost reasoning as a default. Instruments with strong upfront context gathering (Mindgap's elicitation-form contract, ATP's gather_context step) can compress this closer to 2×; instruments with weaker context discovery run closer to 4-5×. Instrument design should treat iteration efficiency as an optimisation target because it directly reduces per-deliverable cost.</w:t>
      </w:r>
    </w:p>
    <w:p>
      <w:pPr>
        <w:pStyle w:val="Heading2"/>
        <w:spacing w:after="140" w:before="280"/>
      </w:pPr>
      <w:r>
        <w:rPr>
          <w:rFonts w:ascii="Arial" w:cs="Arial" w:eastAsia="Arial" w:hAnsi="Arial"/>
          <w:b/>
          <w:bCs/>
          <w:sz w:val="28"/>
          <w:szCs w:val="28"/>
        </w:rPr>
        <w:t xml:space="preserve">7.6 R&amp;D line — instrument generation and reference-architecture work</w:t>
      </w:r>
    </w:p>
    <w:p>
      <w:pPr>
        <w:spacing w:after="120" w:line="300"/>
        <w:jc w:val="left"/>
      </w:pPr>
      <w:r>
        <w:rPr>
          <w:rFonts w:ascii="Arial" w:cs="Arial" w:eastAsia="Arial" w:hAnsi="Arial"/>
          <w:b w:val="false"/>
          <w:bCs w:val="false"/>
          <w:i w:val="false"/>
          <w:iCs w:val="false"/>
          <w:sz w:val="22"/>
          <w:szCs w:val="22"/>
        </w:rPr>
        <w:t xml:space="preserve">The venture dedicates an explicit R&amp;D budget line for:</w:t>
      </w:r>
    </w:p>
    <w:p>
      <w:pPr>
        <w:pStyle w:val="ListParagraph"/>
        <w:numPr>
          <w:ilvl w:val="0"/>
          <w:numId w:val="2"/>
        </w:numPr>
        <w:spacing w:after="80" w:line="300"/>
      </w:pPr>
      <w:r>
        <w:rPr>
          <w:rFonts w:ascii="Arial" w:cs="Arial" w:eastAsia="Arial" w:hAnsi="Arial"/>
          <w:sz w:val="22"/>
          <w:szCs w:val="22"/>
        </w:rPr>
        <w:t xml:space="preserve">Generating new Pillar-1 instruments before specific client engagements are signed — staying ahead of the catalogue.</w:t>
      </w:r>
    </w:p>
    <w:p>
      <w:pPr>
        <w:pStyle w:val="ListParagraph"/>
        <w:numPr>
          <w:ilvl w:val="0"/>
          <w:numId w:val="2"/>
        </w:numPr>
        <w:spacing w:after="80" w:line="300"/>
      </w:pPr>
      <w:r>
        <w:rPr>
          <w:rFonts w:ascii="Arial" w:cs="Arial" w:eastAsia="Arial" w:hAnsi="Arial"/>
          <w:sz w:val="22"/>
          <w:szCs w:val="22"/>
        </w:rPr>
        <w:t xml:space="preserve">Evolving the reference architecture and component library for Pillar 2.</w:t>
      </w:r>
    </w:p>
    <w:p>
      <w:pPr>
        <w:pStyle w:val="ListParagraph"/>
        <w:numPr>
          <w:ilvl w:val="0"/>
          <w:numId w:val="2"/>
        </w:numPr>
        <w:spacing w:after="80" w:line="300"/>
      </w:pPr>
      <w:r>
        <w:rPr>
          <w:rFonts w:ascii="Arial" w:cs="Arial" w:eastAsia="Arial" w:hAnsi="Arial"/>
          <w:sz w:val="22"/>
          <w:szCs w:val="22"/>
        </w:rPr>
        <w:t xml:space="preserve">Extending the cross-cutting references (rendering contract, validator, citation rule, working-folder contract) as the discipline matures.</w:t>
      </w:r>
    </w:p>
    <w:p>
      <w:pPr>
        <w:pStyle w:val="ListParagraph"/>
        <w:numPr>
          <w:ilvl w:val="0"/>
          <w:numId w:val="2"/>
        </w:numPr>
        <w:spacing w:after="80" w:line="300"/>
      </w:pPr>
      <w:r>
        <w:rPr>
          <w:rFonts w:ascii="Arial" w:cs="Arial" w:eastAsia="Arial" w:hAnsi="Arial"/>
          <w:sz w:val="22"/>
          <w:szCs w:val="22"/>
        </w:rPr>
        <w:t xml:space="preserve">Upstream research sharing with BigSmall and Panalogy Lab — the venture benefits from those labs' outputs and maintains visibility into their pipelines.</w:t>
      </w:r>
    </w:p>
    <w:p>
      <w:pPr>
        <w:spacing w:after="120" w:line="300"/>
        <w:jc w:val="left"/>
      </w:pPr>
      <w:r>
        <w:rPr>
          <w:rFonts w:ascii="Arial" w:cs="Arial" w:eastAsia="Arial" w:hAnsi="Arial"/>
          <w:b w:val="false"/>
          <w:bCs w:val="false"/>
          <w:i w:val="false"/>
          <w:iCs w:val="false"/>
          <w:sz w:val="22"/>
          <w:szCs w:val="22"/>
        </w:rPr>
        <w:t xml:space="preserve">Without a named R&amp;D line, client work always wins the priority argument and the readiness infrastructure never gets built. The plan estimates this line at roughly fifteen to twenty per cent of the team's time in steady state. The business plan translates this into a VND figure against the staffed team.</w:t>
      </w:r>
    </w:p>
    <w:p>
      <w:pPr>
        <w:pStyle w:val="Heading2"/>
        <w:spacing w:after="140" w:before="280"/>
      </w:pPr>
      <w:r>
        <w:rPr>
          <w:rFonts w:ascii="Arial" w:cs="Arial" w:eastAsia="Arial" w:hAnsi="Arial"/>
          <w:b/>
          <w:bCs/>
          <w:sz w:val="28"/>
          <w:szCs w:val="28"/>
        </w:rPr>
        <w:t xml:space="preserve">7.7 KB-curation line — separate from R&amp;D</w:t>
      </w:r>
    </w:p>
    <w:p>
      <w:pPr>
        <w:spacing w:after="120" w:line="300"/>
        <w:jc w:val="left"/>
      </w:pPr>
      <w:r>
        <w:rPr>
          <w:rFonts w:ascii="Arial" w:cs="Arial" w:eastAsia="Arial" w:hAnsi="Arial"/>
          <w:b w:val="false"/>
          <w:bCs w:val="false"/>
          <w:i w:val="false"/>
          <w:iCs w:val="false"/>
          <w:sz w:val="22"/>
          <w:szCs w:val="22"/>
        </w:rPr>
        <w:t xml:space="preserve">Curated knowledge bases are what make instruments instruments. The labour of building, reviewing, and refreshing Vietnamese KBs (cultural, social, religious, operational, regulatory, sectoral) does not compress into the R&amp;D line without being squeezed out. The plan carries KB curation as its own explicit line, because the instruments depend on it.</w:t>
      </w:r>
    </w:p>
    <w:p>
      <w:pPr>
        <w:spacing w:after="120" w:line="300"/>
        <w:jc w:val="left"/>
      </w:pPr>
      <w:r>
        <w:rPr>
          <w:rFonts w:ascii="Arial" w:cs="Arial" w:eastAsia="Arial" w:hAnsi="Arial"/>
          <w:b w:val="false"/>
          <w:bCs w:val="false"/>
          <w:i w:val="false"/>
          <w:iCs w:val="false"/>
          <w:sz w:val="22"/>
          <w:szCs w:val="22"/>
        </w:rPr>
        <w:t xml:space="preserve">Starting assumption: KB curation consumes roughly one day per instrument per month in steady state once an instrument is in production, plus a bursty workload during instrument generation (four to six weeks of concentrated curation per new instrument). When the team expands per section 6.4, KB curation is one of the first specialised hires.</w:t>
      </w:r>
    </w:p>
    <w:p>
      <w:pPr>
        <w:pStyle w:val="Heading2"/>
        <w:spacing w:after="140" w:before="280"/>
      </w:pPr>
      <w:r>
        <w:rPr>
          <w:rFonts w:ascii="Arial" w:cs="Arial" w:eastAsia="Arial" w:hAnsi="Arial"/>
          <w:b/>
          <w:bCs/>
          <w:sz w:val="28"/>
          <w:szCs w:val="28"/>
        </w:rPr>
        <w:t xml:space="preserve">7.8 Other AI-operating cost lines</w:t>
      </w:r>
    </w:p>
    <w:p>
      <w:pPr>
        <w:spacing w:after="120" w:line="300"/>
        <w:jc w:val="left"/>
      </w:pPr>
      <w:r>
        <w:rPr>
          <w:rFonts w:ascii="Arial" w:cs="Arial" w:eastAsia="Arial" w:hAnsi="Arial"/>
          <w:b w:val="false"/>
          <w:bCs w:val="false"/>
          <w:i w:val="false"/>
          <w:iCs w:val="false"/>
          <w:sz w:val="22"/>
          <w:szCs w:val="22"/>
        </w:rPr>
        <w:t xml:space="preserve">This list covers cost lines that arise from AI-engineering operation. Non-AI operating costs (marketing and BD, general-venture admin, sales, corporate services) are out of this plan's scope and are the business plan's to budget.</w:t>
      </w:r>
    </w:p>
    <w:p>
      <w:pPr>
        <w:pStyle w:val="ListParagraph"/>
        <w:numPr>
          <w:ilvl w:val="0"/>
          <w:numId w:val="2"/>
        </w:numPr>
        <w:spacing w:after="80" w:line="300"/>
      </w:pPr>
      <w:r>
        <w:rPr>
          <w:rFonts w:ascii="Arial" w:cs="Arial" w:eastAsia="Arial" w:hAnsi="Arial"/>
          <w:b/>
          <w:bCs/>
          <w:sz w:val="22"/>
          <w:szCs w:val="22"/>
        </w:rPr>
        <w:t xml:space="preserve">Legal and compliance templates — </w:t>
      </w:r>
      <w:r>
        <w:rPr>
          <w:rFonts w:ascii="Arial" w:cs="Arial" w:eastAsia="Arial" w:hAnsi="Arial"/>
          <w:sz w:val="22"/>
          <w:szCs w:val="22"/>
        </w:rPr>
        <w:t xml:space="preserve">template services agreement, Vietnamese-law DPA compatible with the Personal Data Protection Decree and the Law on Cybersecurity, IP assignment clauses, client data-handling templates. Noted here because instrument deployment touches client data and requires these templates at engagement signing; a lawyer-reviewed template set is a one-off at venture start with a small monthly retainer thereafter.</w:t>
      </w:r>
    </w:p>
    <w:p>
      <w:pPr>
        <w:pStyle w:val="ListParagraph"/>
        <w:numPr>
          <w:ilvl w:val="0"/>
          <w:numId w:val="2"/>
        </w:numPr>
        <w:spacing w:after="80" w:line="300"/>
      </w:pPr>
      <w:r>
        <w:rPr>
          <w:rFonts w:ascii="Arial" w:cs="Arial" w:eastAsia="Arial" w:hAnsi="Arial"/>
          <w:b/>
          <w:bCs/>
          <w:sz w:val="22"/>
          <w:szCs w:val="22"/>
        </w:rPr>
        <w:t xml:space="preserve">Training-content development — </w:t>
      </w:r>
      <w:r>
        <w:rPr>
          <w:rFonts w:ascii="Arial" w:cs="Arial" w:eastAsia="Arial" w:hAnsi="Arial"/>
          <w:sz w:val="22"/>
          <w:szCs w:val="22"/>
        </w:rPr>
        <w:t xml:space="preserve">Vietnamese-language screencasts, SOPs, client-facing knowledge base content for the venture's own instruments. Produced once per instrument; amortised across deployments.</w:t>
      </w:r>
    </w:p>
    <w:p>
      <w:pPr>
        <w:pStyle w:val="ListParagraph"/>
        <w:numPr>
          <w:ilvl w:val="0"/>
          <w:numId w:val="2"/>
        </w:numPr>
        <w:spacing w:after="80" w:line="300"/>
      </w:pPr>
      <w:r>
        <w:rPr>
          <w:rFonts w:ascii="Arial" w:cs="Arial" w:eastAsia="Arial" w:hAnsi="Arial"/>
          <w:b/>
          <w:bCs/>
          <w:sz w:val="22"/>
          <w:szCs w:val="22"/>
        </w:rPr>
        <w:t xml:space="preserve">Third-party AI-runtime costs (pass-through) — </w:t>
      </w:r>
      <w:r>
        <w:rPr>
          <w:rFonts w:ascii="Arial" w:cs="Arial" w:eastAsia="Arial" w:hAnsi="Arial"/>
          <w:sz w:val="22"/>
          <w:szCs w:val="22"/>
        </w:rPr>
        <w:t xml:space="preserve">web search, generative-model calls (image, video, music), specialty-data APIs that an instrument or a Pillar-2 backend consumes. Tracked per instrument and per engagement; commercial decision on pass-through is out of scope.</w:t>
      </w:r>
    </w:p>
    <w:p>
      <w:pPr>
        <w:pStyle w:val="ListParagraph"/>
        <w:numPr>
          <w:ilvl w:val="0"/>
          <w:numId w:val="2"/>
        </w:numPr>
        <w:spacing w:after="80" w:line="300"/>
      </w:pPr>
      <w:r>
        <w:rPr>
          <w:rFonts w:ascii="Arial" w:cs="Arial" w:eastAsia="Arial" w:hAnsi="Arial"/>
          <w:b/>
          <w:bCs/>
          <w:sz w:val="22"/>
          <w:szCs w:val="22"/>
        </w:rPr>
        <w:t xml:space="preserve">AI-engagement contingency — </w:t>
      </w:r>
      <w:r>
        <w:rPr>
          <w:rFonts w:ascii="Arial" w:cs="Arial" w:eastAsia="Arial" w:hAnsi="Arial"/>
          <w:sz w:val="22"/>
          <w:szCs w:val="22"/>
        </w:rPr>
        <w:t xml:space="preserve">10-15% reserve on per-engagement cost lines for unforeseen instrument-deployment work on new client systems (custom connector surprises, sandbox provisioning delays, unexpected data-shape discoveries).</w:t>
      </w:r>
    </w:p>
    <w:p>
      <w:pPr>
        <w:pStyle w:val="ListParagraph"/>
        <w:numPr>
          <w:ilvl w:val="0"/>
          <w:numId w:val="2"/>
        </w:numPr>
        <w:spacing w:after="80" w:line="300"/>
      </w:pPr>
      <w:r>
        <w:rPr>
          <w:rFonts w:ascii="Arial" w:cs="Arial" w:eastAsia="Arial" w:hAnsi="Arial"/>
          <w:b/>
          <w:bCs/>
          <w:sz w:val="22"/>
          <w:szCs w:val="22"/>
        </w:rPr>
        <w:t xml:space="preserve">Anthropic platform drift reserve — </w:t>
      </w:r>
      <w:r>
        <w:rPr>
          <w:rFonts w:ascii="Arial" w:cs="Arial" w:eastAsia="Arial" w:hAnsi="Arial"/>
          <w:sz w:val="22"/>
          <w:szCs w:val="22"/>
        </w:rPr>
        <w:t xml:space="preserve">a small reserve against Anthropic pricing or contract changes that affect the venture's per-run Pillar-2 compute costs or the client's Claude Max baseline. Sizing and pass-through policy are commercial decisions outside this plan's scope.</w:t>
      </w:r>
    </w:p>
    <w:p>
      <w:pPr>
        <w:pStyle w:val="Heading2"/>
        <w:spacing w:after="140" w:before="280"/>
      </w:pPr>
      <w:r>
        <w:rPr>
          <w:rFonts w:ascii="Arial" w:cs="Arial" w:eastAsia="Arial" w:hAnsi="Arial"/>
          <w:b/>
          <w:bCs/>
          <w:sz w:val="28"/>
          <w:szCs w:val="28"/>
        </w:rPr>
        <w:t xml:space="preserve">7.9 What the cost section does not contain</w:t>
      </w:r>
    </w:p>
    <w:p>
      <w:pPr>
        <w:spacing w:after="120" w:line="300"/>
        <w:jc w:val="left"/>
      </w:pPr>
      <w:r>
        <w:rPr>
          <w:rFonts w:ascii="Arial" w:cs="Arial" w:eastAsia="Arial" w:hAnsi="Arial"/>
          <w:b w:val="false"/>
          <w:bCs w:val="false"/>
          <w:i w:val="false"/>
          <w:iCs w:val="false"/>
          <w:sz w:val="22"/>
          <w:szCs w:val="22"/>
        </w:rPr>
        <w:t xml:space="preserve">This section does not contain recommended prices, margin targets, packaging, discount structures, client tiering in commercial terms, revenue forecasts, or billing-model recommendations. Those are the business plan's scope. The AI plan presents the cost facts only.</w:t>
      </w:r>
    </w:p>
    <w:p>
      <w:pPr>
        <w:pStyle w:val="Heading1"/>
        <w:spacing w:after="180" w:before="360"/>
      </w:pPr>
      <w:r>
        <w:rPr>
          <w:rFonts w:ascii="Arial" w:cs="Arial" w:eastAsia="Arial" w:hAnsi="Arial"/>
          <w:b/>
          <w:bCs/>
          <w:sz w:val="32"/>
          <w:szCs w:val="32"/>
        </w:rPr>
        <w:t xml:space="preserve">8. Risks</w:t>
      </w:r>
    </w:p>
    <w:p>
      <w:pPr>
        <w:spacing w:after="120" w:line="300"/>
        <w:jc w:val="left"/>
      </w:pPr>
      <w:r>
        <w:rPr>
          <w:rFonts w:ascii="Arial" w:cs="Arial" w:eastAsia="Arial" w:hAnsi="Arial"/>
          <w:b w:val="false"/>
          <w:bCs w:val="false"/>
          <w:i w:val="false"/>
          <w:iCs w:val="false"/>
          <w:sz w:val="22"/>
          <w:szCs w:val="22"/>
        </w:rPr>
        <w:t xml:space="preserve">The plan names risks that arise from the AI operating side — risks to the venture's ability to build, deploy, and maintain AI work at the quality described elsewhere in this plan. Commercial, market, financial, and strategic risks are out of scope and are the business plan's to name.</w:t>
      </w:r>
    </w:p>
    <w:p>
      <w:pPr>
        <w:pStyle w:val="Heading2"/>
        <w:spacing w:after="140" w:before="280"/>
      </w:pPr>
      <w:r>
        <w:rPr>
          <w:rFonts w:ascii="Arial" w:cs="Arial" w:eastAsia="Arial" w:hAnsi="Arial"/>
          <w:b/>
          <w:bCs/>
          <w:sz w:val="28"/>
          <w:szCs w:val="28"/>
        </w:rPr>
        <w:t xml:space="preserve">8.1 AI-lead schedule constraint</w:t>
      </w:r>
    </w:p>
    <w:p>
      <w:pPr>
        <w:spacing w:after="120" w:line="300"/>
        <w:jc w:val="left"/>
      </w:pPr>
      <w:r>
        <w:rPr>
          <w:rFonts w:ascii="Arial" w:cs="Arial" w:eastAsia="Arial" w:hAnsi="Arial"/>
          <w:b w:val="false"/>
          <w:bCs w:val="false"/>
          <w:i w:val="false"/>
          <w:iCs w:val="false"/>
          <w:sz w:val="22"/>
          <w:szCs w:val="22"/>
        </w:rPr>
        <w:t xml:space="preserve">Sơn's stated load is one-third. While the output is full-FTE-equivalent (section 6.2), real-time availability — same-day turnaround on unexpected issues, extended on-site presence at a client, deep context-switching across multiple simultaneous engagements — is bounded by the scheduled hours. This is a real and ongoing constraint, not a transitional one. Mitigations: explicit hiring triggers that add capability rather than dilute attention; weekly cadence of structured training to reduce dependence on the AI lead's in-the-moment judgment; documented twelve-property discipline and connector-library patterns that survive the lead's periodic absence; and explicit client-communication about which engagement moments require the lead's presence versus which the agentic dev can carry.</w:t>
      </w:r>
    </w:p>
    <w:p>
      <w:pPr>
        <w:pStyle w:val="Heading2"/>
        <w:spacing w:after="140" w:before="280"/>
      </w:pPr>
      <w:r>
        <w:rPr>
          <w:rFonts w:ascii="Arial" w:cs="Arial" w:eastAsia="Arial" w:hAnsi="Arial"/>
          <w:b/>
          <w:bCs/>
          <w:sz w:val="28"/>
          <w:szCs w:val="28"/>
        </w:rPr>
        <w:t xml:space="preserve">8.2 Thin-skill diffusion</w:t>
      </w:r>
    </w:p>
    <w:p>
      <w:pPr>
        <w:spacing w:after="120" w:line="300"/>
        <w:jc w:val="left"/>
      </w:pPr>
      <w:r>
        <w:rPr>
          <w:rFonts w:ascii="Arial" w:cs="Arial" w:eastAsia="Arial" w:hAnsi="Arial"/>
          <w:b w:val="false"/>
          <w:bCs w:val="false"/>
          <w:i w:val="false"/>
          <w:iCs w:val="false"/>
          <w:sz w:val="22"/>
          <w:szCs w:val="22"/>
        </w:rPr>
        <w:t xml:space="preserve">Over twelve to twenty-four months, businesses with Claude Max and a capable employee can feasibly build their own thin skills. Technically this is not a risk — it is the expected outcome at that tier. The AI-plan-scoped concern is misreading where the tier boundary sits in a given vertical (i.e., calling something an instrument when it is actually a thin skill, or vice versa). Mitigation: the twelve-property instrument definition and the tier language in section 3.1 give the venture an explicit tier test for any new work; the dev's client-facing exposure is the venture's best signal for how the boundary is moving.</w:t>
      </w:r>
    </w:p>
    <w:p>
      <w:pPr>
        <w:pStyle w:val="Heading2"/>
        <w:spacing w:after="140" w:before="280"/>
      </w:pPr>
      <w:r>
        <w:rPr>
          <w:rFonts w:ascii="Arial" w:cs="Arial" w:eastAsia="Arial" w:hAnsi="Arial"/>
          <w:b/>
          <w:bCs/>
          <w:sz w:val="28"/>
          <w:szCs w:val="28"/>
        </w:rPr>
        <w:t xml:space="preserve">8.3 KB-curation debt</w:t>
      </w:r>
    </w:p>
    <w:p>
      <w:pPr>
        <w:spacing w:after="120" w:line="300"/>
        <w:jc w:val="left"/>
      </w:pPr>
      <w:r>
        <w:rPr>
          <w:rFonts w:ascii="Arial" w:cs="Arial" w:eastAsia="Arial" w:hAnsi="Arial"/>
          <w:b w:val="false"/>
          <w:bCs w:val="false"/>
          <w:i w:val="false"/>
          <w:iCs w:val="false"/>
          <w:sz w:val="22"/>
          <w:szCs w:val="22"/>
        </w:rPr>
        <w:t xml:space="preserve">Curated knowledge bases decay. Regulations change, cultural incidents happen, sectoral practice evolves. An instrument whose KB has not been refreshed in eighteen months is no longer instrument-grade. Mitigation: the KB-curation line is named explicitly in the cost section and the validator enforces freshness warnings; the operational discipline is to refresh before the warning fires.</w:t>
      </w:r>
    </w:p>
    <w:p>
      <w:pPr>
        <w:pStyle w:val="Heading2"/>
        <w:spacing w:after="140" w:before="280"/>
      </w:pPr>
      <w:r>
        <w:rPr>
          <w:rFonts w:ascii="Arial" w:cs="Arial" w:eastAsia="Arial" w:hAnsi="Arial"/>
          <w:b/>
          <w:bCs/>
          <w:sz w:val="28"/>
          <w:szCs w:val="28"/>
        </w:rPr>
        <w:t xml:space="preserve">8.4 Anthropic platform dependency</w:t>
      </w:r>
    </w:p>
    <w:p>
      <w:pPr>
        <w:spacing w:after="120" w:line="300"/>
        <w:jc w:val="left"/>
      </w:pPr>
      <w:r>
        <w:rPr>
          <w:rFonts w:ascii="Arial" w:cs="Arial" w:eastAsia="Arial" w:hAnsi="Arial"/>
          <w:b w:val="false"/>
          <w:bCs w:val="false"/>
          <w:i w:val="false"/>
          <w:iCs w:val="false"/>
          <w:sz w:val="22"/>
          <w:szCs w:val="22"/>
        </w:rPr>
        <w:t xml:space="preserve">The venture builds on Claude. If Anthropic changes Claude's pricing, usage limits, skill contract, MCP protocol, or commercial terms, the venture's cost physics shifts with them. Mitigations: pass-through credit billing on Pillar-2 compute; deep enough non-compute value (KB, deployment, training, maintenance, connector library) that token-price drift is noise in the contract; and architectural discipline that keeps the instrument-definition twelve properties portable — an instrument's KB, calculators, rendering contract, and validator are not locked to Claude specifically.</w:t>
      </w:r>
    </w:p>
    <w:p>
      <w:pPr>
        <w:pStyle w:val="Heading2"/>
        <w:spacing w:after="140" w:before="280"/>
      </w:pPr>
      <w:r>
        <w:rPr>
          <w:rFonts w:ascii="Arial" w:cs="Arial" w:eastAsia="Arial" w:hAnsi="Arial"/>
          <w:b/>
          <w:bCs/>
          <w:sz w:val="28"/>
          <w:szCs w:val="28"/>
        </w:rPr>
        <w:t xml:space="preserve">8.5 Regulatory drift in Vietnam</w:t>
      </w:r>
    </w:p>
    <w:p>
      <w:pPr>
        <w:spacing w:after="120" w:line="300"/>
        <w:jc w:val="left"/>
      </w:pPr>
      <w:r>
        <w:rPr>
          <w:rFonts w:ascii="Arial" w:cs="Arial" w:eastAsia="Arial" w:hAnsi="Arial"/>
          <w:b w:val="false"/>
          <w:bCs w:val="false"/>
          <w:i w:val="false"/>
          <w:iCs w:val="false"/>
          <w:sz w:val="22"/>
          <w:szCs w:val="22"/>
        </w:rPr>
        <w:t xml:space="preserve">Vietnamese AI regulation is actively evolving. A new law or decree can require re-curation of KBs, re-certification of deployment posture, or restriction of cross-border data flows that an instrument relies on. Mitigation: close reading of regulatory developments (the legal-operations instrument and the evaluate-legal skill pattern help here); relationships with regulators through the Innovation Centre; and conservative deployment posture (tenanted identity, audit logging, data-flow documentation) that tends to clear newer regulatory bars rather than fail them.</w:t>
      </w:r>
    </w:p>
    <w:p>
      <w:pPr>
        <w:pStyle w:val="Heading2"/>
        <w:spacing w:after="140" w:before="280"/>
      </w:pPr>
      <w:r>
        <w:rPr>
          <w:rFonts w:ascii="Arial" w:cs="Arial" w:eastAsia="Arial" w:hAnsi="Arial"/>
          <w:b/>
          <w:bCs/>
          <w:sz w:val="28"/>
          <w:szCs w:val="28"/>
        </w:rPr>
        <w:t xml:space="preserve">8.6 Client-data handling exposure</w:t>
      </w:r>
    </w:p>
    <w:p>
      <w:pPr>
        <w:spacing w:after="120" w:line="300"/>
        <w:jc w:val="left"/>
      </w:pPr>
      <w:r>
        <w:rPr>
          <w:rFonts w:ascii="Arial" w:cs="Arial" w:eastAsia="Arial" w:hAnsi="Arial"/>
          <w:b w:val="false"/>
          <w:bCs w:val="false"/>
          <w:i w:val="false"/>
          <w:iCs w:val="false"/>
          <w:sz w:val="22"/>
          <w:szCs w:val="22"/>
        </w:rPr>
        <w:t xml:space="preserve">Instruments and Pillar-2 systems touch client data. A breach, misuse, or mishandling incident would be materially damaging. Mitigations: the deployment-posture property (9) is a first-class engineering property of every instrument; the cybersecurity company is a structural input to deployment rather than a post-hoc reviewer; audit logging is non-optional; and the legal template set includes incident-response clauses.</w:t>
      </w:r>
    </w:p>
    <w:p>
      <w:pPr>
        <w:pStyle w:val="Heading2"/>
        <w:spacing w:after="140" w:before="280"/>
      </w:pPr>
      <w:r>
        <w:rPr>
          <w:rFonts w:ascii="Arial" w:cs="Arial" w:eastAsia="Arial" w:hAnsi="Arial"/>
          <w:b/>
          <w:bCs/>
          <w:sz w:val="28"/>
          <w:szCs w:val="28"/>
        </w:rPr>
        <w:t xml:space="preserve">8.7 Technical-differentiation erosion</w:t>
      </w:r>
    </w:p>
    <w:p>
      <w:pPr>
        <w:spacing w:after="120" w:line="300"/>
        <w:jc w:val="left"/>
      </w:pPr>
      <w:r>
        <w:rPr>
          <w:rFonts w:ascii="Arial" w:cs="Arial" w:eastAsia="Arial" w:hAnsi="Arial"/>
          <w:b w:val="false"/>
          <w:bCs w:val="false"/>
          <w:i w:val="false"/>
          <w:iCs w:val="false"/>
          <w:sz w:val="22"/>
          <w:szCs w:val="22"/>
        </w:rPr>
        <w:t xml:space="preserve">The twelve-property discipline is a technical differentiator, but it is not a uniquely-held one — other Vietnamese or regional engineering groups can in principle adopt the same discipline. The risk, in AI-plan terms, is that the venture's technical margin narrows if KB curation, connector-library growth, and instrument release cadence fall behind. Mitigations are engineering-operational: continuous KB curation on cadence, a growing connector library that compounds across engagements, validator-enforced rendering and calculator discipline, and routine upstream research flow from BigSmall and Panalogy Lab. Market-level competitive-entry questions are out of scope and are the business plan's to assess.</w:t>
      </w:r>
    </w:p>
    <w:p>
      <w:pPr>
        <w:pStyle w:val="Heading1"/>
        <w:spacing w:after="180" w:before="360"/>
      </w:pPr>
      <w:r>
        <w:rPr>
          <w:rFonts w:ascii="Arial" w:cs="Arial" w:eastAsia="Arial" w:hAnsi="Arial"/>
          <w:b/>
          <w:bCs/>
          <w:sz w:val="32"/>
          <w:szCs w:val="32"/>
        </w:rPr>
        <w:t xml:space="preserve">9. Summary</w:t>
      </w:r>
    </w:p>
    <w:p>
      <w:pPr>
        <w:spacing w:after="120" w:line="300"/>
        <w:jc w:val="left"/>
      </w:pPr>
      <w:r>
        <w:rPr>
          <w:rFonts w:ascii="Arial" w:cs="Arial" w:eastAsia="Arial" w:hAnsi="Arial"/>
          <w:b w:val="false"/>
          <w:bCs w:val="false"/>
          <w:i w:val="false"/>
          <w:iCs w:val="false"/>
          <w:sz w:val="22"/>
          <w:szCs w:val="22"/>
        </w:rPr>
        <w:t xml:space="preserve">This AI plan answers a feasibility question: given the context (three-person team — two standing plus Bằng's per-engagement architect capacity; three production-grade reference instances — Mindgap and ATP from BigSmall AI, and Agent Rung from Panalogy Lab — demonstrating team capability across skill-tier, backend-tier, and cyber-physical-tier agentic work; a cybersec company and an IoT company in the Innovation Centre; Vietnamese businesses and government as the deployment surface), what AI work can the venture build, deploy, and maintain, and at what operational cost?</w:t>
      </w:r>
    </w:p>
    <w:p>
      <w:pPr>
        <w:spacing w:after="120" w:line="300"/>
        <w:jc w:val="left"/>
      </w:pPr>
      <w:r>
        <w:rPr>
          <w:rFonts w:ascii="Arial" w:cs="Arial" w:eastAsia="Arial" w:hAnsi="Arial"/>
          <w:b w:val="false"/>
          <w:bCs w:val="false"/>
          <w:i w:val="false"/>
          <w:iCs w:val="false"/>
          <w:sz w:val="22"/>
          <w:szCs w:val="22"/>
        </w:rPr>
        <w:t xml:space="preserve">Pillar 1 is agentic instruments — Claude plugins built to twelve structural properties (curated KB, multi-agent workflow, deterministic calculators, risk gate, rendering contract, cross-cutting references, validator, supporting code infrastructure, deployment posture, typed external-data connectors including custom connectors for client-specific systems, quality agentic web search, generative-modality integration). Mindgap is the first internal reference instance.</w:t>
      </w:r>
    </w:p>
    <w:p>
      <w:pPr>
        <w:spacing w:after="120" w:line="300"/>
        <w:jc w:val="left"/>
      </w:pPr>
      <w:r>
        <w:rPr>
          <w:rFonts w:ascii="Arial" w:cs="Arial" w:eastAsia="Arial" w:hAnsi="Arial"/>
          <w:b w:val="false"/>
          <w:bCs w:val="false"/>
          <w:i w:val="false"/>
          <w:iCs w:val="false"/>
          <w:sz w:val="22"/>
          <w:szCs w:val="22"/>
        </w:rPr>
        <w:t xml:space="preserve">Pillar 2 is agentic systems — remote MCP backends, multi-agent pipelines, curated corpora, tenanted identity, and cross-venture composition with the cybersecurity and IoT companies. ATP is the first internal reference instance, with an empirical ~$10-per-report compute profile (approximately $30 per delivered user deliverable under the standard 3× iteration multiplier).</w:t>
      </w:r>
    </w:p>
    <w:p>
      <w:pPr>
        <w:spacing w:after="120" w:line="300"/>
        <w:jc w:val="left"/>
      </w:pPr>
      <w:r>
        <w:rPr>
          <w:rFonts w:ascii="Arial" w:cs="Arial" w:eastAsia="Arial" w:hAnsi="Arial"/>
          <w:b w:val="false"/>
          <w:bCs w:val="false"/>
          <w:i w:val="false"/>
          <w:iCs w:val="false"/>
          <w:sz w:val="22"/>
          <w:szCs w:val="22"/>
        </w:rPr>
        <w:t xml:space="preserve">The two pillars are structurally one product line at two infrastructure intensities, linked by a shared engineering discipline, a Vietnamese connector library that compounds across engagements, and a Pillar-1-to-Pillar-2 graduation path when scale or governance demands push past client-side operation.</w:t>
      </w:r>
    </w:p>
    <w:p>
      <w:pPr>
        <w:spacing w:after="120" w:line="300"/>
        <w:jc w:val="left"/>
      </w:pPr>
      <w:r>
        <w:rPr>
          <w:rFonts w:ascii="Arial" w:cs="Arial" w:eastAsia="Arial" w:hAnsi="Arial"/>
          <w:b w:val="false"/>
          <w:bCs w:val="false"/>
          <w:i w:val="false"/>
          <w:iCs w:val="false"/>
          <w:sz w:val="22"/>
          <w:szCs w:val="22"/>
        </w:rPr>
        <w:t xml:space="preserve">The team starts with a two-person standing configuration — AI Lead (Chief-AI-Officer-class role, 1/3 stated load delivering full-FTE-equivalent output) and Agentic AI Dev (full-time, also acting PO) — plus Bằng's software-architect capacity drawn per engagement from BigSmall for Pillar-2 work. All three rates, and the reference Pillar-2 cost structure, trace to Bằng's QS project quote (1.59 bn VND cost basis over six months for a six-person engagement), which originated this plan. Named hiring triggers expand capacity as workload warrants.</w:t>
      </w:r>
    </w:p>
    <w:p>
      <w:pPr>
        <w:spacing w:after="120" w:line="300"/>
        <w:jc w:val="left"/>
      </w:pPr>
      <w:r>
        <w:rPr>
          <w:rFonts w:ascii="Arial" w:cs="Arial" w:eastAsia="Arial" w:hAnsi="Arial"/>
          <w:b w:val="false"/>
          <w:bCs w:val="false"/>
          <w:i w:val="false"/>
          <w:iCs w:val="false"/>
          <w:sz w:val="22"/>
          <w:szCs w:val="22"/>
        </w:rPr>
        <w:t xml:space="preserve">The team, cost, and reference-instance picture rests on an assumed partnership with BigSmall AI. Mindgap and ATP are cited as BigSmall's portfolio — evidence of the team's demonstrated capability, not IP transferred to the venture. In exchange for that demonstrated capability, talent (Sơn, the Agentic Dev, Bằng), and a favourable cost basis for engagements like the QS quote, BigSmall is expected to hold a large equity share in the AI venture. The specifics of the equity arrangement and any IP-licensing or reference-use terms between BigSmall and the venture are out of this plan's scope.</w:t>
      </w:r>
    </w:p>
    <w:p>
      <w:pPr>
        <w:spacing w:after="120" w:line="300"/>
        <w:jc w:val="left"/>
      </w:pPr>
      <w:r>
        <w:rPr>
          <w:rFonts w:ascii="Arial" w:cs="Arial" w:eastAsia="Arial" w:hAnsi="Arial"/>
          <w:b w:val="false"/>
          <w:bCs w:val="false"/>
          <w:i w:val="false"/>
          <w:iCs w:val="false"/>
          <w:sz w:val="22"/>
          <w:szCs w:val="22"/>
        </w:rPr>
        <w:t xml:space="preserve">Operating principle: always aim for fastest production deployment. Pillar 1 commits to a catalogue with readiness windows calibrated against Mindgap's actual build tempo. Pillar 2 commits to a reference architecture and a mobilisation-readiness window (one to two weeks to scope), not to a product list.</w:t>
      </w:r>
    </w:p>
    <w:p>
      <w:pPr>
        <w:spacing w:after="120" w:line="300"/>
        <w:jc w:val="left"/>
      </w:pPr>
      <w:r>
        <w:rPr>
          <w:rFonts w:ascii="Arial" w:cs="Arial" w:eastAsia="Arial" w:hAnsi="Arial"/>
          <w:b w:val="false"/>
          <w:bCs w:val="false"/>
          <w:i w:val="false"/>
          <w:iCs w:val="false"/>
          <w:sz w:val="22"/>
          <w:szCs w:val="22"/>
        </w:rPr>
        <w:t xml:space="preserve">Market demand, pricing, margins, go-to-market, and commercial competitive positioning are explicitly out of this plan's scope. They belong to the business plan, which takes the AI feasibility and cost-physics outputs of this plan as inputs.</w:t>
      </w:r>
    </w:p>
    <w:p>
      <w:pPr>
        <w:pStyle w:val="Heading1"/>
        <w:spacing w:after="180" w:before="360"/>
      </w:pPr>
      <w:r>
        <w:rPr>
          <w:rFonts w:ascii="Arial" w:cs="Arial" w:eastAsia="Arial" w:hAnsi="Arial"/>
          <w:b/>
          <w:bCs/>
          <w:sz w:val="32"/>
          <w:szCs w:val="32"/>
        </w:rPr>
        <w:t xml:space="preserve">10. References &amp; Sources</w:t>
      </w:r>
    </w:p>
    <w:p>
      <w:pPr>
        <w:spacing w:after="120" w:line="300"/>
        <w:jc w:val="left"/>
      </w:pPr>
      <w:r>
        <w:rPr>
          <w:rFonts w:ascii="Arial" w:cs="Arial" w:eastAsia="Arial" w:hAnsi="Arial"/>
          <w:b w:val="false"/>
          <w:bCs w:val="false"/>
          <w:i w:val="false"/>
          <w:iCs w:val="false"/>
          <w:sz w:val="22"/>
          <w:szCs w:val="22"/>
        </w:rPr>
        <w:t xml:space="preserve">This section documents the sources that underpin the plan. The AI plan's intellectual structure — the twelve-property instrument definition, the two-pillar one-product-line framing, the connector-library idea, the readiness-window model, and the tier language — is original to the drafting process and is not externally cited. Where external sources inform specific claims, they are listed below. Claims that are not cited rest either on internal reference instances (Mindgap, ATP) or on the plan's own reasoning.</w:t>
      </w:r>
    </w:p>
    <w:p>
      <w:pPr>
        <w:pStyle w:val="Heading2"/>
        <w:spacing w:after="140" w:before="280"/>
      </w:pPr>
      <w:r>
        <w:rPr>
          <w:rFonts w:ascii="Arial" w:cs="Arial" w:eastAsia="Arial" w:hAnsi="Arial"/>
          <w:b/>
          <w:bCs/>
          <w:sz w:val="28"/>
          <w:szCs w:val="28"/>
        </w:rPr>
        <w:t xml:space="preserve">10.1 Internal reference instances and origin quote</w:t>
      </w:r>
    </w:p>
    <w:p>
      <w:pPr>
        <w:pStyle w:val="ListParagraph"/>
        <w:numPr>
          <w:ilvl w:val="0"/>
          <w:numId w:val="2"/>
        </w:numPr>
        <w:spacing w:after="80" w:line="300"/>
      </w:pPr>
      <w:r>
        <w:rPr>
          <w:rFonts w:ascii="Arial" w:cs="Arial" w:eastAsia="Arial" w:hAnsi="Arial"/>
          <w:b/>
          <w:bCs/>
          <w:sz w:val="22"/>
          <w:szCs w:val="22"/>
        </w:rPr>
        <w:t xml:space="preserve">Bằng's QS project quote — </w:t>
      </w:r>
      <w:r>
        <w:rPr>
          <w:rFonts w:ascii="Arial" w:cs="Arial" w:eastAsia="Arial" w:hAnsi="Arial"/>
          <w:sz w:val="22"/>
          <w:szCs w:val="22"/>
        </w:rPr>
        <w:t xml:space="preserve">six-month MVP quote by Bằng (BigSmall cofounder) to Hằng for an agentic QS system for her real-estate company. Team of six (AI Lead, Software Architect, PO, 2 devs, 1 QC); 1.59 bn VND cost basis; packaged at 1.2 bn VND plus 30-50% equity for BigSmall on the project. This quote is the origin of this plan (see section 2.6) and the empirical anchor for the salary figures (section 7.2) and Pillar-2 engagement cost structure (section 7.5).</w:t>
      </w:r>
    </w:p>
    <w:p>
      <w:pPr>
        <w:pStyle w:val="ListParagraph"/>
        <w:numPr>
          <w:ilvl w:val="0"/>
          <w:numId w:val="2"/>
        </w:numPr>
        <w:spacing w:after="80" w:line="300"/>
      </w:pPr>
      <w:r>
        <w:rPr>
          <w:rFonts w:ascii="Arial" w:cs="Arial" w:eastAsia="Arial" w:hAnsi="Arial"/>
          <w:b/>
          <w:bCs/>
          <w:sz w:val="22"/>
          <w:szCs w:val="22"/>
        </w:rPr>
        <w:t xml:space="preserve">Mindgap — </w:t>
      </w:r>
      <w:r>
        <w:rPr>
          <w:rFonts w:ascii="Arial" w:cs="Arial" w:eastAsia="Arial" w:hAnsi="Arial"/>
          <w:sz w:val="22"/>
          <w:szCs w:val="22"/>
        </w:rPr>
        <w:t xml:space="preserve">marketing-intelligence Claude plugin, v0.16.1 at time of drafting, with curated knowledge base at version 2026.04-r3. Covers nine user-invocable skills (discover-context, generate-guidelines, analyze-competitors, plan-campaign, create-content, evaluate-content, optimize-content, seo-audit, measure-performance) and five sub-agents. Referenced throughout sections 3.1, 4.2, 5.2, 7. First-party work of BigSmall AI.</w:t>
      </w:r>
    </w:p>
    <w:p>
      <w:pPr>
        <w:pStyle w:val="ListParagraph"/>
        <w:numPr>
          <w:ilvl w:val="0"/>
          <w:numId w:val="2"/>
        </w:numPr>
        <w:spacing w:after="80" w:line="300"/>
      </w:pPr>
      <w:r>
        <w:rPr>
          <w:rFonts w:ascii="Arial" w:cs="Arial" w:eastAsia="Arial" w:hAnsi="Arial"/>
          <w:b/>
          <w:bCs/>
          <w:sz w:val="22"/>
          <w:szCs w:val="22"/>
        </w:rPr>
        <w:t xml:space="preserve">ATP (Agentic Transaction Platform) — </w:t>
      </w:r>
      <w:r>
        <w:rPr>
          <w:rFonts w:ascii="Arial" w:cs="Arial" w:eastAsia="Arial" w:hAnsi="Arial"/>
          <w:sz w:val="22"/>
          <w:szCs w:val="22"/>
        </w:rPr>
        <w:t xml:space="preserve">governance-analysis backend for Vietnamese crypto exchanges. Available at atp.bigsmallai.com. Exposes eight skills (design-feature, spec-feature, review-compliance, review-security, attack-composition, compare-systems, design-protocol, evaluate-legal) via a Claude-side plugin backed by a remote MCP server with OAuth 2.1 authentication. Referenced throughout sections 3.2, 4.3, 5.4, 7.5. First-party work of BigSmall AI.</w:t>
      </w:r>
    </w:p>
    <w:p>
      <w:pPr>
        <w:pStyle w:val="ListParagraph"/>
        <w:numPr>
          <w:ilvl w:val="0"/>
          <w:numId w:val="2"/>
        </w:numPr>
        <w:spacing w:after="80" w:line="300"/>
      </w:pPr>
      <w:r>
        <w:rPr>
          <w:rFonts w:ascii="Arial" w:cs="Arial" w:eastAsia="Arial" w:hAnsi="Arial"/>
          <w:b/>
          <w:bCs/>
          <w:sz w:val="22"/>
          <w:szCs w:val="22"/>
        </w:rPr>
        <w:t xml:space="preserve">Agent Rung — </w:t>
      </w:r>
      <w:r>
        <w:rPr>
          <w:rFonts w:ascii="Arial" w:cs="Arial" w:eastAsia="Arial" w:hAnsi="Arial"/>
          <w:sz w:val="22"/>
          <w:szCs w:val="22"/>
        </w:rPr>
        <w:t xml:space="preserve">first-of-its-kind agentic system that autonomously connects to a real-world Programmable Logic Controller to troubleshoot and fix issues. Web interface at agentrung.ai. Composes AI reasoning (hypothesis loop, multi-vendor agent layer, MCP knowledge pipeline) with real-world actuation (live PLC tag reads and writes via pycomm3). Architecture is built on an Erlang/OTP orchestrator + stateless Python AI sidecar + Svelte frontend, with the PLC accessed via a desktop bridge. Cited in section 2.2 as a Pillar-2 cyber-physical reference instance. First-party work of Panalogy Lab.</w:t>
      </w:r>
    </w:p>
    <w:p>
      <w:pPr>
        <w:pStyle w:val="ListParagraph"/>
        <w:numPr>
          <w:ilvl w:val="0"/>
          <w:numId w:val="2"/>
        </w:numPr>
        <w:spacing w:after="80" w:line="300"/>
      </w:pPr>
      <w:r>
        <w:rPr>
          <w:rFonts w:ascii="Arial" w:cs="Arial" w:eastAsia="Arial" w:hAnsi="Arial"/>
          <w:b/>
          <w:bCs/>
          <w:sz w:val="22"/>
          <w:szCs w:val="22"/>
        </w:rPr>
        <w:t xml:space="preserve">BigSmall AI — </w:t>
      </w:r>
      <w:r>
        <w:rPr>
          <w:rFonts w:ascii="Arial" w:cs="Arial" w:eastAsia="Arial" w:hAnsi="Arial"/>
          <w:sz w:val="22"/>
          <w:szCs w:val="22"/>
        </w:rPr>
        <w:t xml:space="preserve">Vietnam-based AI research lab. Parent context for Mindgap and ATP. https://bigsmallai.com</w:t>
      </w:r>
    </w:p>
    <w:p>
      <w:pPr>
        <w:pStyle w:val="ListParagraph"/>
        <w:numPr>
          <w:ilvl w:val="0"/>
          <w:numId w:val="2"/>
        </w:numPr>
        <w:spacing w:after="80" w:line="300"/>
      </w:pPr>
      <w:r>
        <w:rPr>
          <w:rFonts w:ascii="Arial" w:cs="Arial" w:eastAsia="Arial" w:hAnsi="Arial"/>
          <w:b/>
          <w:bCs/>
          <w:sz w:val="22"/>
          <w:szCs w:val="22"/>
        </w:rPr>
        <w:t xml:space="preserve">Panalogy Lab — </w:t>
      </w:r>
      <w:r>
        <w:rPr>
          <w:rFonts w:ascii="Arial" w:cs="Arial" w:eastAsia="Arial" w:hAnsi="Arial"/>
          <w:sz w:val="22"/>
          <w:szCs w:val="22"/>
        </w:rPr>
        <w:t xml:space="preserve">Queensland, Australia R&amp;D studio building scalable AI tools for decision intelligence. Research themes: Social AI (AI aligned with human behaviour), behavioural modelling, synthetic agents (SurveyLM), adaptive human-centred intelligence (LifeOS), team/decision intelligence (ExpertLM), and agentic AI×IoT ("plug intelligence into devices and environments") — directly relevant to Pillar-2 agentic cyber-physical control and optimization work. Partner of BigSmall AI. https://panalogy-lab.com</w:t>
      </w:r>
    </w:p>
    <w:p>
      <w:pPr>
        <w:pStyle w:val="Heading2"/>
        <w:spacing w:after="140" w:before="280"/>
      </w:pPr>
      <w:r>
        <w:rPr>
          <w:rFonts w:ascii="Arial" w:cs="Arial" w:eastAsia="Arial" w:hAnsi="Arial"/>
          <w:b/>
          <w:bCs/>
          <w:sz w:val="28"/>
          <w:szCs w:val="28"/>
        </w:rPr>
        <w:t xml:space="preserve">10.2 Vietnamese regulatory and policy references</w:t>
      </w:r>
    </w:p>
    <w:p>
      <w:pPr>
        <w:spacing w:after="120" w:line="300"/>
        <w:jc w:val="left"/>
      </w:pPr>
      <w:r>
        <w:rPr>
          <w:rFonts w:ascii="Arial" w:cs="Arial" w:eastAsia="Arial" w:hAnsi="Arial"/>
          <w:b w:val="false"/>
          <w:bCs w:val="false"/>
          <w:i w:val="false"/>
          <w:iCs w:val="false"/>
          <w:sz w:val="22"/>
          <w:szCs w:val="22"/>
        </w:rPr>
        <w:t xml:space="preserve">The plan cites Vietnamese regulations at the level of their existence and issuing body — it does not quote article numbers or verbatim text. Specific provisions would be the scope of a future legal instrument (the evaluate-legal pattern demonstrated by ATP), not of this AI plan. The regulations below are cited because specific instruments or deployment-posture properties rely on their existence.</w:t>
      </w:r>
    </w:p>
    <w:p>
      <w:pPr>
        <w:pStyle w:val="ListParagraph"/>
        <w:numPr>
          <w:ilvl w:val="0"/>
          <w:numId w:val="2"/>
        </w:numPr>
        <w:spacing w:after="80" w:line="300"/>
      </w:pPr>
      <w:r>
        <w:rPr>
          <w:rFonts w:ascii="Arial" w:cs="Arial" w:eastAsia="Arial" w:hAnsi="Arial"/>
          <w:sz w:val="22"/>
          <w:szCs w:val="22"/>
        </w:rPr>
        <w:t xml:space="preserve">Law on Cybersecurity (Luật An ninh mạng) — National Assembly, 2018. Cited in section 3.1 (deployment posture) and section 7.8 (legal templates) as a structural constraint on client-data handling.</w:t>
      </w:r>
    </w:p>
    <w:p>
      <w:pPr>
        <w:pStyle w:val="ListParagraph"/>
        <w:numPr>
          <w:ilvl w:val="0"/>
          <w:numId w:val="2"/>
        </w:numPr>
        <w:spacing w:after="80" w:line="300"/>
      </w:pPr>
      <w:r>
        <w:rPr>
          <w:rFonts w:ascii="Arial" w:cs="Arial" w:eastAsia="Arial" w:hAnsi="Arial"/>
          <w:sz w:val="22"/>
          <w:szCs w:val="22"/>
        </w:rPr>
        <w:t xml:space="preserve">Personal Data Protection Decree — Decree No. 13/2023/NĐ-CP, Government of Vietnam, 2023. Cited in sections 3.1 and 7.8 as the privacy-regulation anchor for the legal template set the venture needs at engagement signing.</w:t>
      </w:r>
    </w:p>
    <w:p>
      <w:pPr>
        <w:pStyle w:val="ListParagraph"/>
        <w:numPr>
          <w:ilvl w:val="0"/>
          <w:numId w:val="2"/>
        </w:numPr>
        <w:spacing w:after="80" w:line="300"/>
      </w:pPr>
      <w:r>
        <w:rPr>
          <w:rFonts w:ascii="Arial" w:cs="Arial" w:eastAsia="Arial" w:hAnsi="Arial"/>
          <w:sz w:val="22"/>
          <w:szCs w:val="22"/>
        </w:rPr>
        <w:t xml:space="preserve">Circular 200/2014/TT-BTC — Ministry of Finance, on accounting systems and VAS. Cited in section 5.2 as the chart-of-accounts anchor for a candidate Vietnamese finance-operations instrument.</w:t>
      </w:r>
    </w:p>
    <w:p>
      <w:pPr>
        <w:pStyle w:val="ListParagraph"/>
        <w:numPr>
          <w:ilvl w:val="0"/>
          <w:numId w:val="2"/>
        </w:numPr>
        <w:spacing w:after="80" w:line="300"/>
      </w:pPr>
      <w:r>
        <w:rPr>
          <w:rFonts w:ascii="Arial" w:cs="Arial" w:eastAsia="Arial" w:hAnsi="Arial"/>
          <w:sz w:val="22"/>
          <w:szCs w:val="22"/>
        </w:rPr>
        <w:t xml:space="preserve">Civil Code 2015 (Bộ luật Dân sự 2015, Law No. 91/2015/QH13) — cited only as the legal corpus ATP draws from; no direct articles cited in this plan.</w:t>
      </w:r>
    </w:p>
    <w:p>
      <w:pPr>
        <w:pStyle w:val="ListParagraph"/>
        <w:numPr>
          <w:ilvl w:val="0"/>
          <w:numId w:val="2"/>
        </w:numPr>
        <w:spacing w:after="80" w:line="300"/>
      </w:pPr>
      <w:r>
        <w:rPr>
          <w:rFonts w:ascii="Arial" w:cs="Arial" w:eastAsia="Arial" w:hAnsi="Arial"/>
          <w:sz w:val="22"/>
          <w:szCs w:val="22"/>
        </w:rPr>
        <w:t xml:space="preserve">Labour Code 2019 (Bộ luật Lao động 2019, Law No. 45/2019/QH14) — cited in section 5.2 as the grounding for a candidate Vietnamese HR-operations instrument.</w:t>
      </w:r>
    </w:p>
    <w:p>
      <w:pPr>
        <w:pStyle w:val="Heading2"/>
        <w:spacing w:after="140" w:before="280"/>
      </w:pPr>
      <w:r>
        <w:rPr>
          <w:rFonts w:ascii="Arial" w:cs="Arial" w:eastAsia="Arial" w:hAnsi="Arial"/>
          <w:b/>
          <w:bCs/>
          <w:sz w:val="28"/>
          <w:szCs w:val="28"/>
        </w:rPr>
        <w:t xml:space="preserve">10.3 Anthropic and Claude platform references</w:t>
      </w:r>
    </w:p>
    <w:p>
      <w:pPr>
        <w:spacing w:after="120" w:line="300"/>
        <w:jc w:val="left"/>
      </w:pPr>
      <w:r>
        <w:rPr>
          <w:rFonts w:ascii="Arial" w:cs="Arial" w:eastAsia="Arial" w:hAnsi="Arial"/>
          <w:b w:val="false"/>
          <w:bCs w:val="false"/>
          <w:i w:val="false"/>
          <w:iCs w:val="false"/>
          <w:sz w:val="22"/>
          <w:szCs w:val="22"/>
        </w:rPr>
        <w:t xml:space="preserve">Anthropic product references are cited at the level of the features the plan depends on. The business plan should track Anthropic's current documentation for up-to-date pricing, tier definitions, and platform terms before committing commercial figures.</w:t>
      </w:r>
    </w:p>
    <w:p>
      <w:pPr>
        <w:pStyle w:val="ListParagraph"/>
        <w:numPr>
          <w:ilvl w:val="0"/>
          <w:numId w:val="2"/>
        </w:numPr>
        <w:spacing w:after="80" w:line="300"/>
      </w:pPr>
      <w:r>
        <w:rPr>
          <w:rFonts w:ascii="Arial" w:cs="Arial" w:eastAsia="Arial" w:hAnsi="Arial"/>
          <w:sz w:val="22"/>
          <w:szCs w:val="22"/>
        </w:rPr>
        <w:t xml:space="preserve">Claude Max subscription — $100/month reference price used as the cost baseline throughout sections 4, 7.1, 7.5. Anthropic's current pricing should be verified at docs.claude.com or anthropic.com; any commercial commitment is the business plan's concern, not this plan's.</w:t>
      </w:r>
    </w:p>
    <w:p>
      <w:pPr>
        <w:pStyle w:val="ListParagraph"/>
        <w:numPr>
          <w:ilvl w:val="0"/>
          <w:numId w:val="2"/>
        </w:numPr>
        <w:spacing w:after="80" w:line="300"/>
      </w:pPr>
      <w:r>
        <w:rPr>
          <w:rFonts w:ascii="Arial" w:cs="Arial" w:eastAsia="Arial" w:hAnsi="Arial"/>
          <w:sz w:val="22"/>
          <w:szCs w:val="22"/>
        </w:rPr>
        <w:t xml:space="preserve">Claude plugin / skill contract — Anthropic's skill and plugin specification as the base on which the twelve-property instrument definition builds. Referenced throughout sections 3.1, 4.2.</w:t>
      </w:r>
    </w:p>
    <w:p>
      <w:pPr>
        <w:pStyle w:val="ListParagraph"/>
        <w:numPr>
          <w:ilvl w:val="0"/>
          <w:numId w:val="2"/>
        </w:numPr>
        <w:spacing w:after="80" w:line="300"/>
      </w:pPr>
      <w:r>
        <w:rPr>
          <w:rFonts w:ascii="Arial" w:cs="Arial" w:eastAsia="Arial" w:hAnsi="Arial"/>
          <w:sz w:val="22"/>
          <w:szCs w:val="22"/>
        </w:rPr>
        <w:t xml:space="preserve">Model Context Protocol (MCP) — the protocol used by ATP for its remote backend and by the venture's custom connectors. Referenced throughout sections 3.2, 5.3, 5.4. Specification at modelcontextprotocol.io.</w:t>
      </w:r>
    </w:p>
    <w:p>
      <w:pPr>
        <w:pStyle w:val="ListParagraph"/>
        <w:numPr>
          <w:ilvl w:val="0"/>
          <w:numId w:val="2"/>
        </w:numPr>
        <w:spacing w:after="80" w:line="300"/>
      </w:pPr>
      <w:r>
        <w:rPr>
          <w:rFonts w:ascii="Arial" w:cs="Arial" w:eastAsia="Arial" w:hAnsi="Arial"/>
          <w:sz w:val="22"/>
          <w:szCs w:val="22"/>
        </w:rPr>
        <w:t xml:space="preserve">Anthropic product documentation — docs.claude.com, support.claude.com.</w:t>
      </w:r>
    </w:p>
    <w:p>
      <w:pPr>
        <w:pStyle w:val="Heading2"/>
        <w:spacing w:after="140" w:before="280"/>
      </w:pPr>
      <w:r>
        <w:rPr>
          <w:rFonts w:ascii="Arial" w:cs="Arial" w:eastAsia="Arial" w:hAnsi="Arial"/>
          <w:b/>
          <w:bCs/>
          <w:sz w:val="28"/>
          <w:szCs w:val="28"/>
        </w:rPr>
        <w:t xml:space="preserve">10.4 Generative-modality providers (cited as integration targets)</w:t>
      </w:r>
    </w:p>
    <w:p>
      <w:pPr>
        <w:spacing w:after="120" w:line="300"/>
        <w:jc w:val="left"/>
      </w:pPr>
      <w:r>
        <w:rPr>
          <w:rFonts w:ascii="Arial" w:cs="Arial" w:eastAsia="Arial" w:hAnsi="Arial"/>
          <w:b w:val="false"/>
          <w:bCs w:val="false"/>
          <w:i w:val="false"/>
          <w:iCs w:val="false"/>
          <w:sz w:val="22"/>
          <w:szCs w:val="22"/>
        </w:rPr>
        <w:t xml:space="preserve">Mindgap's create-content skill generates prompts for the following models. The plan cites them as integration targets, not as endorsements or preferred vendors. Model choice within any instrument is a routing decision made at runtime against quality, cost, and latency criteria.</w:t>
      </w:r>
    </w:p>
    <w:p>
      <w:pPr>
        <w:pStyle w:val="ListParagraph"/>
        <w:numPr>
          <w:ilvl w:val="0"/>
          <w:numId w:val="2"/>
        </w:numPr>
        <w:spacing w:after="80" w:line="300"/>
      </w:pPr>
      <w:r>
        <w:rPr>
          <w:rFonts w:ascii="Arial" w:cs="Arial" w:eastAsia="Arial" w:hAnsi="Arial"/>
          <w:sz w:val="22"/>
          <w:szCs w:val="22"/>
        </w:rPr>
        <w:t xml:space="preserve">OpenAI GPT Image, Midjourney, Flux — image generation.</w:t>
      </w:r>
    </w:p>
    <w:p>
      <w:pPr>
        <w:pStyle w:val="ListParagraph"/>
        <w:numPr>
          <w:ilvl w:val="0"/>
          <w:numId w:val="2"/>
        </w:numPr>
        <w:spacing w:after="80" w:line="300"/>
      </w:pPr>
      <w:r>
        <w:rPr>
          <w:rFonts w:ascii="Arial" w:cs="Arial" w:eastAsia="Arial" w:hAnsi="Arial"/>
          <w:sz w:val="22"/>
          <w:szCs w:val="22"/>
        </w:rPr>
        <w:t xml:space="preserve">OpenAI Sora, Google Veo 3.1, Runway — video generation.</w:t>
      </w:r>
    </w:p>
    <w:p>
      <w:pPr>
        <w:pStyle w:val="Heading2"/>
        <w:spacing w:after="140" w:before="280"/>
      </w:pPr>
      <w:r>
        <w:rPr>
          <w:rFonts w:ascii="Arial" w:cs="Arial" w:eastAsia="Arial" w:hAnsi="Arial"/>
          <w:b/>
          <w:bCs/>
          <w:sz w:val="28"/>
          <w:szCs w:val="28"/>
        </w:rPr>
        <w:t xml:space="preserve">10.5 Vietnamese technical-infrastructure context</w:t>
      </w:r>
    </w:p>
    <w:p>
      <w:pPr>
        <w:spacing w:after="120" w:line="300"/>
        <w:jc w:val="left"/>
      </w:pPr>
      <w:r>
        <w:rPr>
          <w:rFonts w:ascii="Arial" w:cs="Arial" w:eastAsia="Arial" w:hAnsi="Arial"/>
          <w:b w:val="false"/>
          <w:bCs w:val="false"/>
          <w:i w:val="false"/>
          <w:iCs w:val="false"/>
          <w:sz w:val="22"/>
          <w:szCs w:val="22"/>
        </w:rPr>
        <w:t xml:space="preserve">Vietnamese-market technical infrastructure referenced by the plan — primarily in section 5.3 (connector library) as deployment targets for custom connector engineering. No quantitative market claims are made; market sizing is the business plan's to make.</w:t>
      </w:r>
    </w:p>
    <w:p>
      <w:pPr>
        <w:pStyle w:val="ListParagraph"/>
        <w:numPr>
          <w:ilvl w:val="0"/>
          <w:numId w:val="2"/>
        </w:numPr>
        <w:spacing w:after="80" w:line="300"/>
      </w:pPr>
      <w:r>
        <w:rPr>
          <w:rFonts w:ascii="Arial" w:cs="Arial" w:eastAsia="Arial" w:hAnsi="Arial"/>
          <w:sz w:val="22"/>
          <w:szCs w:val="22"/>
        </w:rPr>
        <w:t xml:space="preserve">Vietnamese local ERPs referenced in the connector-library section — MISA, Bravo, Fast Accounting, Effect. Cited as deployment targets for custom connectors.</w:t>
      </w:r>
    </w:p>
    <w:p>
      <w:pPr>
        <w:pStyle w:val="ListParagraph"/>
        <w:numPr>
          <w:ilvl w:val="0"/>
          <w:numId w:val="2"/>
        </w:numPr>
        <w:spacing w:after="80" w:line="300"/>
      </w:pPr>
      <w:r>
        <w:rPr>
          <w:rFonts w:ascii="Arial" w:cs="Arial" w:eastAsia="Arial" w:hAnsi="Arial"/>
          <w:sz w:val="22"/>
          <w:szCs w:val="22"/>
        </w:rPr>
        <w:t xml:space="preserve">Vietnamese e-invoice providers referenced — MISA, Viettel, FPT. Cited as deployment targets for custom connectors.</w:t>
      </w:r>
    </w:p>
    <w:p>
      <w:pPr>
        <w:pStyle w:val="ListParagraph"/>
        <w:numPr>
          <w:ilvl w:val="0"/>
          <w:numId w:val="2"/>
        </w:numPr>
        <w:spacing w:after="80" w:line="300"/>
      </w:pPr>
      <w:r>
        <w:rPr>
          <w:rFonts w:ascii="Arial" w:cs="Arial" w:eastAsia="Arial" w:hAnsi="Arial"/>
          <w:sz w:val="22"/>
          <w:szCs w:val="22"/>
        </w:rPr>
        <w:t xml:space="preserve">Vietnamese messaging platforms referenced — Zalo (including Zalo Official Account archives). Cited as deployment targets for custom connectors.</w:t>
      </w:r>
    </w:p>
    <w:p>
      <w:pPr>
        <w:pStyle w:val="Heading2"/>
        <w:spacing w:after="140" w:before="280"/>
      </w:pPr>
      <w:r>
        <w:rPr>
          <w:rFonts w:ascii="Arial" w:cs="Arial" w:eastAsia="Arial" w:hAnsi="Arial"/>
          <w:b/>
          <w:bCs/>
          <w:sz w:val="28"/>
          <w:szCs w:val="28"/>
        </w:rPr>
        <w:t xml:space="preserve">10.6 Claims that rest on the plan's own reasoning</w:t>
      </w:r>
    </w:p>
    <w:p>
      <w:pPr>
        <w:spacing w:after="120" w:line="300"/>
        <w:jc w:val="left"/>
      </w:pPr>
      <w:r>
        <w:rPr>
          <w:rFonts w:ascii="Arial" w:cs="Arial" w:eastAsia="Arial" w:hAnsi="Arial"/>
          <w:b w:val="false"/>
          <w:bCs w:val="false"/>
          <w:i w:val="false"/>
          <w:iCs w:val="false"/>
          <w:sz w:val="22"/>
          <w:szCs w:val="22"/>
        </w:rPr>
        <w:t xml:space="preserve">The following structural contributions of this plan are original to the drafting process and are not externally cited:</w:t>
      </w:r>
    </w:p>
    <w:p>
      <w:pPr>
        <w:pStyle w:val="ListParagraph"/>
        <w:numPr>
          <w:ilvl w:val="0"/>
          <w:numId w:val="2"/>
        </w:numPr>
        <w:spacing w:after="80" w:line="300"/>
      </w:pPr>
      <w:r>
        <w:rPr>
          <w:rFonts w:ascii="Arial" w:cs="Arial" w:eastAsia="Arial" w:hAnsi="Arial"/>
          <w:sz w:val="22"/>
          <w:szCs w:val="22"/>
        </w:rPr>
        <w:t xml:space="preserve">The twelve-property definition of an agentic instrument (section 3.1) — generalised from Mindgap's observed architecture.</w:t>
      </w:r>
    </w:p>
    <w:p>
      <w:pPr>
        <w:pStyle w:val="ListParagraph"/>
        <w:numPr>
          <w:ilvl w:val="0"/>
          <w:numId w:val="2"/>
        </w:numPr>
        <w:spacing w:after="80" w:line="300"/>
      </w:pPr>
      <w:r>
        <w:rPr>
          <w:rFonts w:ascii="Arial" w:cs="Arial" w:eastAsia="Arial" w:hAnsi="Arial"/>
          <w:sz w:val="22"/>
          <w:szCs w:val="22"/>
        </w:rPr>
        <w:t xml:space="preserve">The two-pillar one-product-line framing (sections 1, 3, 5.5) — derived from the observation that Mindgap and ATP are instances of the same engineering posture at two infrastructure intensities.</w:t>
      </w:r>
    </w:p>
    <w:p>
      <w:pPr>
        <w:pStyle w:val="ListParagraph"/>
        <w:numPr>
          <w:ilvl w:val="0"/>
          <w:numId w:val="2"/>
        </w:numPr>
        <w:spacing w:after="80" w:line="300"/>
      </w:pPr>
      <w:r>
        <w:rPr>
          <w:rFonts w:ascii="Arial" w:cs="Arial" w:eastAsia="Arial" w:hAnsi="Arial"/>
          <w:sz w:val="22"/>
          <w:szCs w:val="22"/>
        </w:rPr>
        <w:t xml:space="preserve">The three-tier clustering of properties (defining / domain-triggered / scale-triggered) (section 3.1).</w:t>
      </w:r>
    </w:p>
    <w:p>
      <w:pPr>
        <w:pStyle w:val="ListParagraph"/>
        <w:numPr>
          <w:ilvl w:val="0"/>
          <w:numId w:val="2"/>
        </w:numPr>
        <w:spacing w:after="80" w:line="300"/>
      </w:pPr>
      <w:r>
        <w:rPr>
          <w:rFonts w:ascii="Arial" w:cs="Arial" w:eastAsia="Arial" w:hAnsi="Arial"/>
          <w:sz w:val="22"/>
          <w:szCs w:val="22"/>
        </w:rPr>
        <w:t xml:space="preserve">The tier language for client engagements (thin skills / instruments / backend-bound systems) (section 3.1).</w:t>
      </w:r>
    </w:p>
    <w:p>
      <w:pPr>
        <w:pStyle w:val="ListParagraph"/>
        <w:numPr>
          <w:ilvl w:val="0"/>
          <w:numId w:val="2"/>
        </w:numPr>
        <w:spacing w:after="80" w:line="300"/>
      </w:pPr>
      <w:r>
        <w:rPr>
          <w:rFonts w:ascii="Arial" w:cs="Arial" w:eastAsia="Arial" w:hAnsi="Arial"/>
          <w:sz w:val="22"/>
          <w:szCs w:val="22"/>
        </w:rPr>
        <w:t xml:space="preserve">The context-assumed framing that keeps the AI plan separate from market-demand argument (section 2).</w:t>
      </w:r>
    </w:p>
    <w:p>
      <w:pPr>
        <w:pStyle w:val="ListParagraph"/>
        <w:numPr>
          <w:ilvl w:val="0"/>
          <w:numId w:val="2"/>
        </w:numPr>
        <w:spacing w:after="80" w:line="300"/>
      </w:pPr>
      <w:r>
        <w:rPr>
          <w:rFonts w:ascii="Arial" w:cs="Arial" w:eastAsia="Arial" w:hAnsi="Arial"/>
          <w:sz w:val="22"/>
          <w:szCs w:val="22"/>
        </w:rPr>
        <w:t xml:space="preserve">The framing of the BigSmall partnership as a structural assumption of the plan's cost model, with equity terms explicitly out of scope (section 2.7).</w:t>
      </w:r>
    </w:p>
    <w:p>
      <w:pPr>
        <w:pStyle w:val="ListParagraph"/>
        <w:numPr>
          <w:ilvl w:val="0"/>
          <w:numId w:val="2"/>
        </w:numPr>
        <w:spacing w:after="80" w:line="300"/>
      </w:pPr>
      <w:r>
        <w:rPr>
          <w:rFonts w:ascii="Arial" w:cs="Arial" w:eastAsia="Arial" w:hAnsi="Arial"/>
          <w:sz w:val="22"/>
          <w:szCs w:val="22"/>
        </w:rPr>
        <w:t xml:space="preserve">The readiness-window model (ready now / one-window / two-window) (section 5.2).</w:t>
      </w:r>
    </w:p>
    <w:p>
      <w:pPr>
        <w:pStyle w:val="ListParagraph"/>
        <w:numPr>
          <w:ilvl w:val="0"/>
          <w:numId w:val="2"/>
        </w:numPr>
        <w:spacing w:after="80" w:line="300"/>
      </w:pPr>
      <w:r>
        <w:rPr>
          <w:rFonts w:ascii="Arial" w:cs="Arial" w:eastAsia="Arial" w:hAnsi="Arial"/>
          <w:sz w:val="22"/>
          <w:szCs w:val="22"/>
        </w:rPr>
        <w:t xml:space="preserve">The generation-velocity vs deployment-velocity distinction (section 5.1).</w:t>
      </w:r>
    </w:p>
    <w:p>
      <w:pPr>
        <w:pStyle w:val="ListParagraph"/>
        <w:numPr>
          <w:ilvl w:val="0"/>
          <w:numId w:val="2"/>
        </w:numPr>
        <w:spacing w:after="80" w:line="300"/>
      </w:pPr>
      <w:r>
        <w:rPr>
          <w:rFonts w:ascii="Arial" w:cs="Arial" w:eastAsia="Arial" w:hAnsi="Arial"/>
          <w:sz w:val="22"/>
          <w:szCs w:val="22"/>
        </w:rPr>
        <w:t xml:space="preserve">The Vietnamese connector library as a compounding Pillar-1 asset and Pillar-1-to-Pillar-2 graduation scaffold (sections 5.3, 5.5).</w:t>
      </w:r>
    </w:p>
    <w:p>
      <w:pPr>
        <w:pStyle w:val="ListParagraph"/>
        <w:numPr>
          <w:ilvl w:val="0"/>
          <w:numId w:val="2"/>
        </w:numPr>
        <w:spacing w:after="80" w:line="300"/>
      </w:pPr>
      <w:r>
        <w:rPr>
          <w:rFonts w:ascii="Arial" w:cs="Arial" w:eastAsia="Arial" w:hAnsi="Arial"/>
          <w:sz w:val="22"/>
          <w:szCs w:val="22"/>
        </w:rPr>
        <w:t xml:space="preserve">The 3× iteration multiplier as a default design assumption for per-run compute cost (section 7.5).</w:t>
      </w:r>
    </w:p>
    <w:p>
      <w:pPr>
        <w:pStyle w:val="ListParagraph"/>
        <w:numPr>
          <w:ilvl w:val="0"/>
          <w:numId w:val="2"/>
        </w:numPr>
        <w:spacing w:after="80" w:line="300"/>
      </w:pPr>
      <w:r>
        <w:rPr>
          <w:rFonts w:ascii="Arial" w:cs="Arial" w:eastAsia="Arial" w:hAnsi="Arial"/>
          <w:sz w:val="22"/>
          <w:szCs w:val="22"/>
        </w:rPr>
        <w:t xml:space="preserve">The hiring-trigger model for team expansion (section 6.3, 6.4).</w:t>
      </w:r>
    </w:p>
    <w:p>
      <w:pPr>
        <w:spacing w:after="120" w:line="300"/>
        <w:jc w:val="left"/>
      </w:pPr>
      <w:r>
        <w:rPr>
          <w:rFonts w:ascii="Arial" w:cs="Arial" w:eastAsia="Arial" w:hAnsi="Arial"/>
          <w:i/>
          <w:iCs/>
          <w:sz w:val="22"/>
          <w:szCs w:val="22"/>
        </w:rPr>
        <w:t xml:space="preserve">These contributions are the IP of the AI venture and its AI Lead. Subsequent external citation of this plan's framing should attribute accordingly.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08080"/>
        <w:sz w:val="18"/>
        <w:szCs w:val="18"/>
      </w:rPr>
      <w:t xml:space="preserve">Page </w:t>
    </w:r>
    <w:r>
      <w:rPr>
        <w:rFonts w:ascii="Arial" w:cs="Arial" w:eastAsia="Arial" w:hAnsi="Arial"/>
        <w:color w:val="808080"/>
        <w:sz w:val="18"/>
        <w:szCs w:val="18"/>
      </w:rPr>
      <w:fldChar w:fldCharType="begin"/>
      <w:instrText xml:space="preserve">PAGE</w:instrText>
      <w:fldChar w:fldCharType="separate"/>
      <w:fldChar w:fldCharType="end"/>
    </w:r>
    <w:r>
      <w:rPr>
        <w:rFonts w:ascii="Arial" w:cs="Arial" w:eastAsia="Arial" w:hAnsi="Arial"/>
        <w:color w:val="808080"/>
        <w:sz w:val="18"/>
        <w:szCs w:val="18"/>
      </w:rPr>
      <w:t xml:space="preserve"> of </w:t>
    </w:r>
    <w:r>
      <w:rPr>
        <w:rFonts w:ascii="Arial" w:cs="Arial" w:eastAsia="Arial" w:hAnsi="Arial"/>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808080"/>
        <w:sz w:val="18"/>
        <w:szCs w:val="18"/>
      </w:rPr>
      <w:t xml:space="preserve">AI Plan — AI Venture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Plan — AI Venture under the Innovation Centre</dc:title>
  <dc:creator>Sơn</dc:creator>
  <dc:description>AI feasibility plan for an AI venture in the Innovation Centre — agentic instruments (Pillar 1) and agentic systems (Pillar 2) for Vietnamese businesses and government.</dc:description>
  <cp:lastModifiedBy>Un-named</cp:lastModifiedBy>
  <cp:revision>1</cp:revision>
  <dcterms:created xsi:type="dcterms:W3CDTF">2026-04-24T23:28:57.286Z</dcterms:created>
  <dcterms:modified xsi:type="dcterms:W3CDTF">2026-04-24T23:28:57.286Z</dcterms:modified>
</cp:coreProperties>
</file>

<file path=docProps/custom.xml><?xml version="1.0" encoding="utf-8"?>
<Properties xmlns="http://schemas.openxmlformats.org/officeDocument/2006/custom-properties" xmlns:vt="http://schemas.openxmlformats.org/officeDocument/2006/docPropsVTypes"/>
</file>